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44ED0D1"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762731">
                              <w:rPr>
                                <w:rFonts w:asciiTheme="majorHAnsi" w:hAnsiTheme="majorHAnsi"/>
                                <w:b/>
                                <w:color w:val="0D0D0D" w:themeColor="text1" w:themeTint="F2"/>
                                <w:sz w:val="36"/>
                              </w:rPr>
                              <w:t>85</w:t>
                            </w:r>
                            <w:r>
                              <w:rPr>
                                <w:rFonts w:asciiTheme="majorHAnsi" w:hAnsiTheme="majorHAnsi"/>
                                <w:b/>
                                <w:color w:val="0D0D0D" w:themeColor="text1" w:themeTint="F2"/>
                                <w:sz w:val="36"/>
                              </w:rPr>
                              <w:t>/23</w:t>
                            </w:r>
                          </w:p>
                          <w:p w14:paraId="2F09FD78" w14:textId="572D925F"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13.888</w:t>
                            </w:r>
                          </w:p>
                          <w:p w14:paraId="137925A6" w14:textId="67D35E49"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4212DAA7" w:rsidR="00322450" w:rsidRPr="00680F0F" w:rsidRDefault="00680F0F"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DIEGO PABLO PAREDES</w:t>
                            </w:r>
                          </w:p>
                          <w:p w14:paraId="07E90BFE" w14:textId="7DF9BB2F" w:rsidR="005B52B0" w:rsidRPr="00680F0F" w:rsidRDefault="00680F0F"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44ED0D1"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762731">
                        <w:rPr>
                          <w:rFonts w:asciiTheme="majorHAnsi" w:hAnsiTheme="majorHAnsi"/>
                          <w:b/>
                          <w:color w:val="0D0D0D" w:themeColor="text1" w:themeTint="F2"/>
                          <w:sz w:val="36"/>
                        </w:rPr>
                        <w:t>85</w:t>
                      </w:r>
                      <w:r>
                        <w:rPr>
                          <w:rFonts w:asciiTheme="majorHAnsi" w:hAnsiTheme="majorHAnsi"/>
                          <w:b/>
                          <w:color w:val="0D0D0D" w:themeColor="text1" w:themeTint="F2"/>
                          <w:sz w:val="36"/>
                        </w:rPr>
                        <w:t>/23</w:t>
                      </w:r>
                    </w:p>
                    <w:p w14:paraId="2F09FD78" w14:textId="572D925F"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13.888</w:t>
                      </w:r>
                    </w:p>
                    <w:p w14:paraId="137925A6" w14:textId="67D35E49"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4212DAA7" w:rsidR="00322450" w:rsidRPr="00680F0F" w:rsidRDefault="00680F0F"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DIEGO PABLO PAREDES</w:t>
                      </w:r>
                    </w:p>
                    <w:p w14:paraId="07E90BFE" w14:textId="7DF9BB2F" w:rsidR="005B52B0" w:rsidRPr="00680F0F" w:rsidRDefault="00680F0F" w:rsidP="004B7EB6">
                      <w:pPr>
                        <w:spacing w:line="276" w:lineRule="auto"/>
                        <w:rPr>
                          <w:rFonts w:asciiTheme="majorHAnsi" w:hAnsiTheme="majorHAnsi"/>
                          <w:color w:val="0D0D0D" w:themeColor="text1" w:themeTint="F2"/>
                        </w:rPr>
                      </w:pPr>
                      <w:r>
                        <w:rPr>
                          <w:rFonts w:asciiTheme="majorHAnsi" w:hAnsiTheme="majorHAnsi"/>
                          <w:color w:val="0D0D0D" w:themeColor="text1" w:themeTint="F2"/>
                        </w:rPr>
                        <w:t>ARGENTINA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7777777" w:rsidR="00627C9F" w:rsidRPr="00D4130A" w:rsidRDefault="00627C9F" w:rsidP="002C1641">
                            <w:pPr>
                              <w:jc w:val="right"/>
                              <w:rPr>
                                <w:rFonts w:asciiTheme="minorHAnsi" w:hAnsiTheme="minorHAnsi"/>
                                <w:color w:val="FFFFFF" w:themeColor="background1"/>
                                <w:sz w:val="22"/>
                                <w:lang w:val="pt-BR"/>
                              </w:rPr>
                            </w:pPr>
                            <w:r w:rsidRPr="00D4130A">
                              <w:rPr>
                                <w:rFonts w:asciiTheme="minorHAnsi" w:hAnsiTheme="minorHAnsi"/>
                                <w:color w:val="FFFFFF" w:themeColor="background1"/>
                                <w:sz w:val="22"/>
                                <w:lang w:val="pt-BR"/>
                              </w:rPr>
                              <w:t>OEA/Ser.L/V/II.150</w:t>
                            </w:r>
                          </w:p>
                          <w:p w14:paraId="330BBEF7" w14:textId="3EADBFA9" w:rsidR="00627C9F" w:rsidRPr="00D4130A" w:rsidRDefault="00627C9F" w:rsidP="002C1641">
                            <w:pPr>
                              <w:jc w:val="right"/>
                              <w:rPr>
                                <w:rFonts w:asciiTheme="minorHAnsi" w:hAnsiTheme="minorHAnsi"/>
                                <w:color w:val="FFFFFF" w:themeColor="background1"/>
                                <w:sz w:val="22"/>
                                <w:lang w:val="pt-BR"/>
                              </w:rPr>
                            </w:pPr>
                            <w:r w:rsidRPr="00D4130A">
                              <w:rPr>
                                <w:rFonts w:asciiTheme="minorHAnsi" w:hAnsiTheme="minorHAnsi"/>
                                <w:color w:val="FFFFFF" w:themeColor="background1"/>
                                <w:sz w:val="22"/>
                                <w:lang w:val="pt-BR"/>
                              </w:rPr>
                              <w:t xml:space="preserve">Doc. </w:t>
                            </w:r>
                            <w:r w:rsidR="00762731">
                              <w:rPr>
                                <w:rFonts w:asciiTheme="minorHAnsi" w:hAnsiTheme="minorHAnsi"/>
                                <w:color w:val="FFFFFF" w:themeColor="background1"/>
                                <w:sz w:val="22"/>
                                <w:lang w:val="pt-BR"/>
                              </w:rPr>
                              <w:t>95</w:t>
                            </w:r>
                          </w:p>
                          <w:p w14:paraId="64A9D0B0" w14:textId="684F50F8" w:rsidR="00627C9F" w:rsidRPr="004B7EB6" w:rsidRDefault="00627C9F" w:rsidP="002C1641">
                            <w:pPr>
                              <w:jc w:val="right"/>
                              <w:rPr>
                                <w:rFonts w:asciiTheme="minorHAnsi" w:hAnsiTheme="minorHAnsi"/>
                                <w:color w:val="FFFFFF" w:themeColor="background1"/>
                                <w:sz w:val="22"/>
                              </w:rPr>
                            </w:pPr>
                            <w:r w:rsidRPr="00E41192">
                              <w:rPr>
                                <w:rFonts w:asciiTheme="minorHAnsi" w:hAnsiTheme="minorHAnsi"/>
                                <w:color w:val="FFFFFF" w:themeColor="background1"/>
                                <w:sz w:val="22"/>
                                <w:lang w:val="pt-BR"/>
                              </w:rPr>
                              <w:t xml:space="preserve"> </w:t>
                            </w:r>
                            <w:r w:rsidR="00762731">
                              <w:rPr>
                                <w:rFonts w:asciiTheme="minorHAnsi" w:hAnsiTheme="minorHAnsi"/>
                                <w:color w:val="FFFFFF" w:themeColor="background1"/>
                                <w:sz w:val="22"/>
                              </w:rPr>
                              <w:t xml:space="preserve">21 </w:t>
                            </w:r>
                            <w:r w:rsidR="00532652">
                              <w:rPr>
                                <w:rFonts w:asciiTheme="minorHAnsi" w:hAnsiTheme="minorHAnsi"/>
                                <w:color w:val="FFFFFF" w:themeColor="background1"/>
                                <w:sz w:val="22"/>
                              </w:rPr>
                              <w:t>Ju</w:t>
                            </w:r>
                            <w:r w:rsidR="00762731">
                              <w:rPr>
                                <w:rFonts w:asciiTheme="minorHAnsi" w:hAnsiTheme="minorHAnsi"/>
                                <w:color w:val="FFFFFF" w:themeColor="background1"/>
                                <w:sz w:val="22"/>
                              </w:rPr>
                              <w:t>ne</w:t>
                            </w:r>
                            <w:r>
                              <w:rPr>
                                <w:rFonts w:asciiTheme="minorHAnsi" w:hAnsiTheme="minorHAnsi"/>
                                <w:color w:val="FFFFFF" w:themeColor="background1"/>
                                <w:sz w:val="22"/>
                              </w:rPr>
                              <w:t xml:space="preserve"> 2023</w:t>
                            </w:r>
                          </w:p>
                          <w:p w14:paraId="61B7CA4D" w14:textId="45E234E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762731">
                              <w:rPr>
                                <w:rFonts w:asciiTheme="minorHAnsi" w:hAnsiTheme="minorHAnsi"/>
                                <w:color w:val="FFFFFF" w:themeColor="background1"/>
                                <w:sz w:val="22"/>
                              </w:rPr>
                              <w:t>Spani</w:t>
                            </w:r>
                            <w:r>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7777777" w:rsidR="00627C9F" w:rsidRPr="00D4130A" w:rsidRDefault="00627C9F" w:rsidP="002C1641">
                      <w:pPr>
                        <w:jc w:val="right"/>
                        <w:rPr>
                          <w:rFonts w:asciiTheme="minorHAnsi" w:hAnsiTheme="minorHAnsi"/>
                          <w:color w:val="FFFFFF" w:themeColor="background1"/>
                          <w:sz w:val="22"/>
                          <w:lang w:val="pt-BR"/>
                        </w:rPr>
                      </w:pPr>
                      <w:r w:rsidRPr="00D4130A">
                        <w:rPr>
                          <w:rFonts w:asciiTheme="minorHAnsi" w:hAnsiTheme="minorHAnsi"/>
                          <w:color w:val="FFFFFF" w:themeColor="background1"/>
                          <w:sz w:val="22"/>
                          <w:lang w:val="pt-BR"/>
                        </w:rPr>
                        <w:t>OEA/Ser.L/V/II.150</w:t>
                      </w:r>
                    </w:p>
                    <w:p w14:paraId="330BBEF7" w14:textId="3EADBFA9" w:rsidR="00627C9F" w:rsidRPr="00D4130A" w:rsidRDefault="00627C9F" w:rsidP="002C1641">
                      <w:pPr>
                        <w:jc w:val="right"/>
                        <w:rPr>
                          <w:rFonts w:asciiTheme="minorHAnsi" w:hAnsiTheme="minorHAnsi"/>
                          <w:color w:val="FFFFFF" w:themeColor="background1"/>
                          <w:sz w:val="22"/>
                          <w:lang w:val="pt-BR"/>
                        </w:rPr>
                      </w:pPr>
                      <w:r w:rsidRPr="00D4130A">
                        <w:rPr>
                          <w:rFonts w:asciiTheme="minorHAnsi" w:hAnsiTheme="minorHAnsi"/>
                          <w:color w:val="FFFFFF" w:themeColor="background1"/>
                          <w:sz w:val="22"/>
                          <w:lang w:val="pt-BR"/>
                        </w:rPr>
                        <w:t xml:space="preserve">Doc. </w:t>
                      </w:r>
                      <w:r w:rsidR="00762731">
                        <w:rPr>
                          <w:rFonts w:asciiTheme="minorHAnsi" w:hAnsiTheme="minorHAnsi"/>
                          <w:color w:val="FFFFFF" w:themeColor="background1"/>
                          <w:sz w:val="22"/>
                          <w:lang w:val="pt-BR"/>
                        </w:rPr>
                        <w:t>95</w:t>
                      </w:r>
                    </w:p>
                    <w:p w14:paraId="64A9D0B0" w14:textId="684F50F8" w:rsidR="00627C9F" w:rsidRPr="004B7EB6" w:rsidRDefault="00627C9F" w:rsidP="002C1641">
                      <w:pPr>
                        <w:jc w:val="right"/>
                        <w:rPr>
                          <w:rFonts w:asciiTheme="minorHAnsi" w:hAnsiTheme="minorHAnsi"/>
                          <w:color w:val="FFFFFF" w:themeColor="background1"/>
                          <w:sz w:val="22"/>
                        </w:rPr>
                      </w:pPr>
                      <w:r w:rsidRPr="00E41192">
                        <w:rPr>
                          <w:rFonts w:asciiTheme="minorHAnsi" w:hAnsiTheme="minorHAnsi"/>
                          <w:color w:val="FFFFFF" w:themeColor="background1"/>
                          <w:sz w:val="22"/>
                          <w:lang w:val="pt-BR"/>
                        </w:rPr>
                        <w:t xml:space="preserve"> </w:t>
                      </w:r>
                      <w:r w:rsidR="00762731">
                        <w:rPr>
                          <w:rFonts w:asciiTheme="minorHAnsi" w:hAnsiTheme="minorHAnsi"/>
                          <w:color w:val="FFFFFF" w:themeColor="background1"/>
                          <w:sz w:val="22"/>
                        </w:rPr>
                        <w:t xml:space="preserve">21 </w:t>
                      </w:r>
                      <w:r w:rsidR="00532652">
                        <w:rPr>
                          <w:rFonts w:asciiTheme="minorHAnsi" w:hAnsiTheme="minorHAnsi"/>
                          <w:color w:val="FFFFFF" w:themeColor="background1"/>
                          <w:sz w:val="22"/>
                        </w:rPr>
                        <w:t>Ju</w:t>
                      </w:r>
                      <w:r w:rsidR="00762731">
                        <w:rPr>
                          <w:rFonts w:asciiTheme="minorHAnsi" w:hAnsiTheme="minorHAnsi"/>
                          <w:color w:val="FFFFFF" w:themeColor="background1"/>
                          <w:sz w:val="22"/>
                        </w:rPr>
                        <w:t>ne</w:t>
                      </w:r>
                      <w:r>
                        <w:rPr>
                          <w:rFonts w:asciiTheme="minorHAnsi" w:hAnsiTheme="minorHAnsi"/>
                          <w:color w:val="FFFFFF" w:themeColor="background1"/>
                          <w:sz w:val="22"/>
                        </w:rPr>
                        <w:t xml:space="preserve"> 2023</w:t>
                      </w:r>
                    </w:p>
                    <w:p w14:paraId="61B7CA4D" w14:textId="45E234E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762731">
                        <w:rPr>
                          <w:rFonts w:asciiTheme="minorHAnsi" w:hAnsiTheme="minorHAnsi"/>
                          <w:color w:val="FFFFFF" w:themeColor="background1"/>
                          <w:sz w:val="22"/>
                        </w:rPr>
                        <w:t>Spani</w:t>
                      </w:r>
                      <w:r>
                        <w:rPr>
                          <w:rFonts w:asciiTheme="minorHAnsi" w:hAnsiTheme="minorHAnsi"/>
                          <w:color w:val="FFFFFF" w:themeColor="background1"/>
                          <w:sz w:val="22"/>
                        </w:rPr>
                        <w:t>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3064A66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762731">
                              <w:rPr>
                                <w:rFonts w:asciiTheme="majorHAnsi" w:hAnsiTheme="majorHAnsi"/>
                                <w:color w:val="0D0D0D" w:themeColor="text1" w:themeTint="F2"/>
                                <w:sz w:val="18"/>
                              </w:rPr>
                              <w:t>June</w:t>
                            </w:r>
                            <w:r>
                              <w:rPr>
                                <w:rFonts w:asciiTheme="majorHAnsi" w:hAnsiTheme="majorHAnsi"/>
                                <w:color w:val="0D0D0D" w:themeColor="text1" w:themeTint="F2"/>
                                <w:sz w:val="18"/>
                              </w:rPr>
                              <w:t xml:space="preserve"> </w:t>
                            </w:r>
                            <w:r w:rsidR="00762731">
                              <w:rPr>
                                <w:rFonts w:asciiTheme="majorHAnsi" w:hAnsiTheme="majorHAnsi"/>
                                <w:color w:val="0D0D0D" w:themeColor="text1" w:themeTint="F2"/>
                                <w:sz w:val="18"/>
                              </w:rPr>
                              <w:t>21</w:t>
                            </w:r>
                            <w:r>
                              <w:rPr>
                                <w:rFonts w:asciiTheme="majorHAnsi" w:hAnsiTheme="majorHAnsi"/>
                                <w:color w:val="0D0D0D" w:themeColor="text1" w:themeTint="F2"/>
                                <w:sz w:val="18"/>
                              </w:rPr>
                              <w:t>, 2023</w:t>
                            </w:r>
                            <w:r w:rsidR="00762731">
                              <w:rPr>
                                <w:rFonts w:asciiTheme="majorHAnsi" w:hAnsiTheme="majorHAnsi"/>
                                <w:color w:val="0D0D0D" w:themeColor="text1" w:themeTint="F2"/>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3064A66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762731">
                        <w:rPr>
                          <w:rFonts w:asciiTheme="majorHAnsi" w:hAnsiTheme="majorHAnsi"/>
                          <w:color w:val="0D0D0D" w:themeColor="text1" w:themeTint="F2"/>
                          <w:sz w:val="18"/>
                        </w:rPr>
                        <w:t>June</w:t>
                      </w:r>
                      <w:r>
                        <w:rPr>
                          <w:rFonts w:asciiTheme="majorHAnsi" w:hAnsiTheme="majorHAnsi"/>
                          <w:color w:val="0D0D0D" w:themeColor="text1" w:themeTint="F2"/>
                          <w:sz w:val="18"/>
                        </w:rPr>
                        <w:t xml:space="preserve"> </w:t>
                      </w:r>
                      <w:r w:rsidR="00762731">
                        <w:rPr>
                          <w:rFonts w:asciiTheme="majorHAnsi" w:hAnsiTheme="majorHAnsi"/>
                          <w:color w:val="0D0D0D" w:themeColor="text1" w:themeTint="F2"/>
                          <w:sz w:val="18"/>
                        </w:rPr>
                        <w:t>21</w:t>
                      </w:r>
                      <w:r>
                        <w:rPr>
                          <w:rFonts w:asciiTheme="majorHAnsi" w:hAnsiTheme="majorHAnsi"/>
                          <w:color w:val="0D0D0D" w:themeColor="text1" w:themeTint="F2"/>
                          <w:sz w:val="18"/>
                        </w:rPr>
                        <w:t>, 2023</w:t>
                      </w:r>
                      <w:r w:rsidR="00762731">
                        <w:rPr>
                          <w:rFonts w:asciiTheme="majorHAnsi" w:hAnsiTheme="majorHAnsi"/>
                          <w:color w:val="0D0D0D" w:themeColor="text1" w:themeTint="F2"/>
                          <w:sz w:val="18"/>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263457D"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762731">
                              <w:rPr>
                                <w:rFonts w:asciiTheme="majorHAnsi" w:hAnsiTheme="majorHAnsi"/>
                                <w:color w:val="595959" w:themeColor="text1" w:themeTint="A6"/>
                                <w:sz w:val="18"/>
                              </w:rPr>
                              <w:t>85/23.</w:t>
                            </w:r>
                            <w:r>
                              <w:rPr>
                                <w:rFonts w:asciiTheme="majorHAnsi" w:hAnsiTheme="majorHAnsi"/>
                                <w:color w:val="595959" w:themeColor="text1" w:themeTint="A6"/>
                                <w:sz w:val="18"/>
                              </w:rPr>
                              <w:t xml:space="preserve"> Case </w:t>
                            </w:r>
                            <w:r w:rsidR="002C43C6">
                              <w:rPr>
                                <w:rFonts w:asciiTheme="majorHAnsi" w:hAnsiTheme="majorHAnsi"/>
                                <w:color w:val="595959" w:themeColor="text1" w:themeTint="A6"/>
                                <w:sz w:val="18"/>
                              </w:rPr>
                              <w:t>13.888</w:t>
                            </w:r>
                            <w:r>
                              <w:rPr>
                                <w:rFonts w:asciiTheme="majorHAnsi" w:hAnsiTheme="majorHAnsi"/>
                                <w:color w:val="595959" w:themeColor="text1" w:themeTint="A6"/>
                                <w:sz w:val="18"/>
                              </w:rPr>
                              <w:t xml:space="preserve">. Friendly Settlement. </w:t>
                            </w:r>
                            <w:r w:rsidR="002C43C6">
                              <w:rPr>
                                <w:rFonts w:asciiTheme="majorHAnsi" w:hAnsiTheme="majorHAnsi"/>
                                <w:color w:val="595959" w:themeColor="text1" w:themeTint="A6"/>
                                <w:sz w:val="18"/>
                              </w:rPr>
                              <w:t>Diego Pablo Paredes</w:t>
                            </w:r>
                            <w:r>
                              <w:rPr>
                                <w:rFonts w:asciiTheme="majorHAnsi" w:hAnsiTheme="majorHAnsi"/>
                                <w:color w:val="595959" w:themeColor="text1" w:themeTint="A6"/>
                                <w:sz w:val="18"/>
                              </w:rPr>
                              <w:t xml:space="preserve">. </w:t>
                            </w:r>
                            <w:r w:rsidR="002C43C6">
                              <w:rPr>
                                <w:rFonts w:asciiTheme="majorHAnsi" w:hAnsiTheme="majorHAnsi"/>
                                <w:color w:val="595959" w:themeColor="text1" w:themeTint="A6"/>
                                <w:sz w:val="18"/>
                              </w:rPr>
                              <w:t>Argentina</w:t>
                            </w:r>
                            <w:r>
                              <w:rPr>
                                <w:rFonts w:asciiTheme="majorHAnsi" w:hAnsiTheme="majorHAnsi"/>
                                <w:color w:val="595959" w:themeColor="text1" w:themeTint="A6"/>
                                <w:sz w:val="18"/>
                              </w:rPr>
                              <w:t xml:space="preserve">. </w:t>
                            </w:r>
                            <w:r w:rsidR="00762731">
                              <w:rPr>
                                <w:rFonts w:asciiTheme="majorHAnsi" w:hAnsiTheme="majorHAnsi"/>
                                <w:color w:val="595959" w:themeColor="text1" w:themeTint="A6"/>
                                <w:sz w:val="18"/>
                              </w:rPr>
                              <w:t>June 21, 2023</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263457D"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762731">
                        <w:rPr>
                          <w:rFonts w:asciiTheme="majorHAnsi" w:hAnsiTheme="majorHAnsi"/>
                          <w:color w:val="595959" w:themeColor="text1" w:themeTint="A6"/>
                          <w:sz w:val="18"/>
                        </w:rPr>
                        <w:t>85/23.</w:t>
                      </w:r>
                      <w:r>
                        <w:rPr>
                          <w:rFonts w:asciiTheme="majorHAnsi" w:hAnsiTheme="majorHAnsi"/>
                          <w:color w:val="595959" w:themeColor="text1" w:themeTint="A6"/>
                          <w:sz w:val="18"/>
                        </w:rPr>
                        <w:t xml:space="preserve"> Case </w:t>
                      </w:r>
                      <w:r w:rsidR="002C43C6">
                        <w:rPr>
                          <w:rFonts w:asciiTheme="majorHAnsi" w:hAnsiTheme="majorHAnsi"/>
                          <w:color w:val="595959" w:themeColor="text1" w:themeTint="A6"/>
                          <w:sz w:val="18"/>
                        </w:rPr>
                        <w:t>13.888</w:t>
                      </w:r>
                      <w:r>
                        <w:rPr>
                          <w:rFonts w:asciiTheme="majorHAnsi" w:hAnsiTheme="majorHAnsi"/>
                          <w:color w:val="595959" w:themeColor="text1" w:themeTint="A6"/>
                          <w:sz w:val="18"/>
                        </w:rPr>
                        <w:t xml:space="preserve">. Friendly Settlement. </w:t>
                      </w:r>
                      <w:r w:rsidR="002C43C6">
                        <w:rPr>
                          <w:rFonts w:asciiTheme="majorHAnsi" w:hAnsiTheme="majorHAnsi"/>
                          <w:color w:val="595959" w:themeColor="text1" w:themeTint="A6"/>
                          <w:sz w:val="18"/>
                        </w:rPr>
                        <w:t>Diego Pablo Paredes</w:t>
                      </w:r>
                      <w:r>
                        <w:rPr>
                          <w:rFonts w:asciiTheme="majorHAnsi" w:hAnsiTheme="majorHAnsi"/>
                          <w:color w:val="595959" w:themeColor="text1" w:themeTint="A6"/>
                          <w:sz w:val="18"/>
                        </w:rPr>
                        <w:t xml:space="preserve">. </w:t>
                      </w:r>
                      <w:r w:rsidR="002C43C6">
                        <w:rPr>
                          <w:rFonts w:asciiTheme="majorHAnsi" w:hAnsiTheme="majorHAnsi"/>
                          <w:color w:val="595959" w:themeColor="text1" w:themeTint="A6"/>
                          <w:sz w:val="18"/>
                        </w:rPr>
                        <w:t>Argentina</w:t>
                      </w:r>
                      <w:r>
                        <w:rPr>
                          <w:rFonts w:asciiTheme="majorHAnsi" w:hAnsiTheme="majorHAnsi"/>
                          <w:color w:val="595959" w:themeColor="text1" w:themeTint="A6"/>
                          <w:sz w:val="18"/>
                        </w:rPr>
                        <w:t xml:space="preserve">. </w:t>
                      </w:r>
                      <w:r w:rsidR="00762731">
                        <w:rPr>
                          <w:rFonts w:asciiTheme="majorHAnsi" w:hAnsiTheme="majorHAnsi"/>
                          <w:color w:val="595959" w:themeColor="text1" w:themeTint="A6"/>
                          <w:sz w:val="18"/>
                        </w:rPr>
                        <w:t>June 21, 2023</w:t>
                      </w:r>
                      <w:r>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3825C5E" w:rsidR="006311DA" w:rsidRPr="001E4CF2" w:rsidRDefault="006311DA" w:rsidP="00145EDC">
      <w:pPr>
        <w:tabs>
          <w:tab w:val="center" w:pos="5400"/>
        </w:tabs>
        <w:suppressAutoHyphens/>
        <w:spacing w:line="276" w:lineRule="auto"/>
        <w:jc w:val="center"/>
        <w:rPr>
          <w:rFonts w:ascii="Cambria" w:hAnsi="Cambria"/>
          <w:b/>
          <w:sz w:val="18"/>
          <w:szCs w:val="18"/>
        </w:rPr>
      </w:pPr>
      <w:r w:rsidRPr="001E4CF2">
        <w:rPr>
          <w:rFonts w:ascii="Cambria" w:hAnsi="Cambria"/>
          <w:b/>
          <w:sz w:val="18"/>
          <w:szCs w:val="18"/>
        </w:rPr>
        <w:lastRenderedPageBreak/>
        <w:t xml:space="preserve">REPORT No. </w:t>
      </w:r>
      <w:r w:rsidR="00762731">
        <w:rPr>
          <w:rFonts w:ascii="Cambria" w:hAnsi="Cambria"/>
          <w:b/>
          <w:sz w:val="18"/>
          <w:szCs w:val="18"/>
        </w:rPr>
        <w:t>85</w:t>
      </w:r>
      <w:r w:rsidRPr="001E4CF2">
        <w:rPr>
          <w:rFonts w:ascii="Cambria" w:hAnsi="Cambria"/>
          <w:b/>
          <w:sz w:val="18"/>
          <w:szCs w:val="18"/>
        </w:rPr>
        <w:t>/23</w:t>
      </w:r>
    </w:p>
    <w:p w14:paraId="225983D3" w14:textId="1B9934F8" w:rsidR="006311DA" w:rsidRPr="001E4CF2" w:rsidRDefault="006311DA" w:rsidP="00145EDC">
      <w:pPr>
        <w:tabs>
          <w:tab w:val="center" w:pos="5400"/>
        </w:tabs>
        <w:suppressAutoHyphens/>
        <w:spacing w:line="276" w:lineRule="auto"/>
        <w:jc w:val="center"/>
        <w:rPr>
          <w:rFonts w:ascii="Cambria" w:hAnsi="Cambria"/>
          <w:b/>
          <w:sz w:val="18"/>
          <w:szCs w:val="18"/>
        </w:rPr>
      </w:pPr>
      <w:r w:rsidRPr="001E4CF2">
        <w:rPr>
          <w:rFonts w:ascii="Cambria" w:hAnsi="Cambria"/>
          <w:b/>
          <w:sz w:val="18"/>
          <w:szCs w:val="18"/>
        </w:rPr>
        <w:t>CASE 13.888</w:t>
      </w:r>
    </w:p>
    <w:p w14:paraId="77C6A460" w14:textId="698B794C" w:rsidR="006311DA" w:rsidRPr="001E4CF2" w:rsidRDefault="006311DA" w:rsidP="00145EDC">
      <w:pPr>
        <w:tabs>
          <w:tab w:val="center" w:pos="5400"/>
        </w:tabs>
        <w:suppressAutoHyphens/>
        <w:spacing w:line="276" w:lineRule="auto"/>
        <w:jc w:val="center"/>
        <w:rPr>
          <w:rFonts w:ascii="Cambria" w:hAnsi="Cambria"/>
          <w:sz w:val="18"/>
          <w:szCs w:val="18"/>
        </w:rPr>
      </w:pPr>
      <w:r w:rsidRPr="001E4CF2">
        <w:rPr>
          <w:rFonts w:ascii="Cambria" w:hAnsi="Cambria"/>
          <w:sz w:val="18"/>
          <w:szCs w:val="18"/>
        </w:rPr>
        <w:t xml:space="preserve">FRIENDLY SETTLEMENT </w:t>
      </w:r>
    </w:p>
    <w:p w14:paraId="1A9CFEB9" w14:textId="13E5B390" w:rsidR="006311DA" w:rsidRPr="001E4CF2" w:rsidRDefault="00680F0F" w:rsidP="00145EDC">
      <w:pPr>
        <w:tabs>
          <w:tab w:val="center" w:pos="5400"/>
        </w:tabs>
        <w:suppressAutoHyphens/>
        <w:spacing w:line="276" w:lineRule="auto"/>
        <w:jc w:val="center"/>
        <w:rPr>
          <w:rFonts w:ascii="Cambria" w:hAnsi="Cambria"/>
          <w:sz w:val="18"/>
          <w:szCs w:val="18"/>
        </w:rPr>
      </w:pPr>
      <w:r w:rsidRPr="001E4CF2">
        <w:rPr>
          <w:rFonts w:ascii="Cambria" w:hAnsi="Cambria"/>
          <w:sz w:val="18"/>
          <w:szCs w:val="18"/>
        </w:rPr>
        <w:t>DIEGO PABLO PAREDES</w:t>
      </w:r>
    </w:p>
    <w:p w14:paraId="13E4BED3" w14:textId="56822357" w:rsidR="003C32BC" w:rsidRPr="001E4CF2" w:rsidRDefault="00680F0F" w:rsidP="00145EDC">
      <w:pPr>
        <w:tabs>
          <w:tab w:val="center" w:pos="5400"/>
        </w:tabs>
        <w:suppressAutoHyphens/>
        <w:spacing w:line="276" w:lineRule="auto"/>
        <w:jc w:val="center"/>
        <w:rPr>
          <w:rFonts w:ascii="Cambria" w:hAnsi="Cambria"/>
          <w:sz w:val="18"/>
          <w:szCs w:val="18"/>
        </w:rPr>
      </w:pPr>
      <w:r w:rsidRPr="001E4CF2">
        <w:rPr>
          <w:rFonts w:ascii="Cambria" w:hAnsi="Cambria"/>
          <w:sz w:val="18"/>
          <w:szCs w:val="18"/>
        </w:rPr>
        <w:t>ARGENTINA</w:t>
      </w:r>
      <w:r w:rsidRPr="001E4CF2">
        <w:rPr>
          <w:rFonts w:ascii="Cambria" w:hAnsi="Cambria"/>
          <w:sz w:val="18"/>
          <w:szCs w:val="18"/>
        </w:rPr>
        <w:br/>
      </w:r>
      <w:r w:rsidR="00532652" w:rsidRPr="001E4CF2">
        <w:rPr>
          <w:rFonts w:ascii="Cambria" w:hAnsi="Cambria"/>
          <w:sz w:val="18"/>
          <w:szCs w:val="18"/>
        </w:rPr>
        <w:t>JU</w:t>
      </w:r>
      <w:r w:rsidR="00762731" w:rsidRPr="001E4CF2">
        <w:rPr>
          <w:rFonts w:ascii="Cambria" w:hAnsi="Cambria"/>
          <w:sz w:val="18"/>
          <w:szCs w:val="18"/>
        </w:rPr>
        <w:t>NE</w:t>
      </w:r>
      <w:r w:rsidRPr="001E4CF2">
        <w:rPr>
          <w:rFonts w:ascii="Cambria" w:hAnsi="Cambria"/>
          <w:sz w:val="18"/>
          <w:szCs w:val="18"/>
        </w:rPr>
        <w:t xml:space="preserve"> </w:t>
      </w:r>
      <w:r w:rsidR="00762731" w:rsidRPr="001E4CF2">
        <w:rPr>
          <w:rFonts w:ascii="Cambria" w:hAnsi="Cambria"/>
          <w:sz w:val="18"/>
          <w:szCs w:val="18"/>
        </w:rPr>
        <w:t>21</w:t>
      </w:r>
      <w:r w:rsidRPr="001E4CF2">
        <w:rPr>
          <w:rFonts w:ascii="Cambria" w:hAnsi="Cambria"/>
          <w:sz w:val="18"/>
          <w:szCs w:val="18"/>
        </w:rPr>
        <w:t>, 2023</w:t>
      </w:r>
    </w:p>
    <w:p w14:paraId="4979604C" w14:textId="77777777" w:rsidR="007607C4" w:rsidRPr="001E4CF2" w:rsidRDefault="007607C4" w:rsidP="001E4CF2">
      <w:pPr>
        <w:tabs>
          <w:tab w:val="center" w:pos="5400"/>
        </w:tabs>
        <w:suppressAutoHyphens/>
        <w:jc w:val="center"/>
        <w:rPr>
          <w:rFonts w:ascii="Cambria" w:hAnsi="Cambria"/>
          <w:sz w:val="20"/>
          <w:szCs w:val="20"/>
          <w:lang w:val="pt-BR"/>
        </w:rPr>
      </w:pPr>
    </w:p>
    <w:p w14:paraId="527C4BCC" w14:textId="77777777" w:rsidR="00C55560" w:rsidRPr="001E4CF2" w:rsidRDefault="00C55560" w:rsidP="001E4CF2">
      <w:pPr>
        <w:tabs>
          <w:tab w:val="center" w:pos="5400"/>
        </w:tabs>
        <w:suppressAutoHyphens/>
        <w:jc w:val="center"/>
        <w:rPr>
          <w:rFonts w:ascii="Cambria" w:hAnsi="Cambria"/>
          <w:sz w:val="20"/>
          <w:szCs w:val="20"/>
          <w:lang w:val="pt-BR"/>
        </w:rPr>
      </w:pPr>
    </w:p>
    <w:p w14:paraId="0574AB1A" w14:textId="7C7B13BC" w:rsidR="00FA675D" w:rsidRDefault="00FA675D" w:rsidP="00762731">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r>
        <w:rPr>
          <w:b/>
          <w:sz w:val="20"/>
        </w:rPr>
        <w:t>SUMMARY AND RELEVANT PROCEEDINGS OF THE FRIENDLY SETTLEMENT PROCESS</w:t>
      </w:r>
      <w:r>
        <w:rPr>
          <w:b/>
          <w:color w:val="000000" w:themeColor="text1"/>
          <w:sz w:val="20"/>
        </w:rPr>
        <w:t xml:space="preserve"> </w:t>
      </w:r>
    </w:p>
    <w:p w14:paraId="67D4BDB0"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16CDA4E1" w14:textId="24B19FB9" w:rsidR="00680F0F" w:rsidRPr="00D4130A" w:rsidRDefault="00680F0F" w:rsidP="00680F0F">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D4130A">
        <w:rPr>
          <w:rFonts w:ascii="Cambria" w:hAnsi="Cambria"/>
          <w:color w:val="000000"/>
          <w:sz w:val="20"/>
        </w:rPr>
        <w:t>On October 5, 2010, the Inter-American Commission on Human Rights (hereinafter "the Commission" or "IACHR") received a petition filed by Diego Pablo Paredes (hereinafter "alleged victim"), with the legal representation of Elena Carmen Moreno and Myriam Carsen (hereinafter "the petitioners"), alleging the international responsibility of the Republic of Argentina (hereinafter "Argentina" or "the State"), for violation of the human rights set forth in Articles 8 (judicial guarantees), 24 (equality before the law), and 25 (judicial protection) of the American Convention on Human Rights (hereinafter "Convention" or "American Convention"), in conjunction with Article 1</w:t>
      </w:r>
      <w:r w:rsidR="00AA214D" w:rsidRPr="00D4130A">
        <w:rPr>
          <w:rFonts w:ascii="Cambria" w:hAnsi="Cambria"/>
          <w:color w:val="000000"/>
          <w:sz w:val="20"/>
        </w:rPr>
        <w:t>(</w:t>
      </w:r>
      <w:r w:rsidRPr="00D4130A">
        <w:rPr>
          <w:rFonts w:ascii="Cambria" w:hAnsi="Cambria"/>
          <w:color w:val="000000"/>
          <w:sz w:val="20"/>
        </w:rPr>
        <w:t>1</w:t>
      </w:r>
      <w:r w:rsidR="00AA214D" w:rsidRPr="00D4130A">
        <w:rPr>
          <w:rFonts w:ascii="Cambria" w:hAnsi="Cambria"/>
          <w:color w:val="000000"/>
          <w:sz w:val="20"/>
        </w:rPr>
        <w:t>)</w:t>
      </w:r>
      <w:r w:rsidRPr="00D4130A">
        <w:rPr>
          <w:rFonts w:ascii="Cambria" w:hAnsi="Cambria"/>
          <w:color w:val="000000"/>
          <w:sz w:val="20"/>
        </w:rPr>
        <w:t xml:space="preserve"> (obligation to respect rights) of the same instrument, to the detriment of Diego Pablo Paredes, derived from the violations to due process and the rejection of his request for economic reparation, as a result of his forced exile, filed </w:t>
      </w:r>
      <w:r w:rsidR="000B162F" w:rsidRPr="00D4130A">
        <w:rPr>
          <w:rFonts w:ascii="Cambria" w:hAnsi="Cambria"/>
          <w:color w:val="000000"/>
          <w:sz w:val="20"/>
        </w:rPr>
        <w:t xml:space="preserve">within the framework of </w:t>
      </w:r>
      <w:r w:rsidRPr="00D4130A">
        <w:rPr>
          <w:rFonts w:ascii="Cambria" w:hAnsi="Cambria"/>
          <w:color w:val="000000"/>
          <w:sz w:val="20"/>
        </w:rPr>
        <w:t xml:space="preserve">Law No. 24.043. </w:t>
      </w:r>
    </w:p>
    <w:p w14:paraId="6A3B17CA" w14:textId="77777777" w:rsidR="00680F0F" w:rsidRPr="00D4130A"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780C883B" w14:textId="77DBC0D1" w:rsidR="00680F0F" w:rsidRPr="00D4130A" w:rsidRDefault="00680F0F" w:rsidP="00680F0F">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D4130A">
        <w:rPr>
          <w:rFonts w:ascii="Cambria" w:hAnsi="Cambria"/>
          <w:color w:val="000000"/>
          <w:sz w:val="20"/>
        </w:rPr>
        <w:t xml:space="preserve">On December 6, 2019, the Commission issued Admissibility Report No. 193/19, in which it declared the petition admissible and its competence to hear the claim </w:t>
      </w:r>
      <w:r w:rsidR="000B162F" w:rsidRPr="00D4130A">
        <w:rPr>
          <w:rFonts w:ascii="Cambria" w:hAnsi="Cambria"/>
          <w:color w:val="000000"/>
          <w:sz w:val="20"/>
        </w:rPr>
        <w:t xml:space="preserve">filed </w:t>
      </w:r>
      <w:r w:rsidRPr="00D4130A">
        <w:rPr>
          <w:rFonts w:ascii="Cambria" w:hAnsi="Cambria"/>
          <w:color w:val="000000"/>
          <w:sz w:val="20"/>
        </w:rPr>
        <w:t>by the petitioners regarding the alleged violation of the rights enshrined in Articles 8 (judicial guarantees), 24 (equality before the law), and 25 (judicial protection), of the American Convention in conjunction with the obligation established in Article 1</w:t>
      </w:r>
      <w:r w:rsidR="00AA214D" w:rsidRPr="00D4130A">
        <w:rPr>
          <w:rFonts w:ascii="Cambria" w:hAnsi="Cambria"/>
          <w:color w:val="000000"/>
          <w:sz w:val="20"/>
        </w:rPr>
        <w:t xml:space="preserve"> (</w:t>
      </w:r>
      <w:r w:rsidRPr="00D4130A">
        <w:rPr>
          <w:rFonts w:ascii="Cambria" w:hAnsi="Cambria"/>
          <w:color w:val="000000"/>
          <w:sz w:val="20"/>
        </w:rPr>
        <w:t>1</w:t>
      </w:r>
      <w:r w:rsidR="00AA214D" w:rsidRPr="00D4130A">
        <w:rPr>
          <w:rFonts w:ascii="Cambria" w:hAnsi="Cambria"/>
          <w:color w:val="000000"/>
          <w:sz w:val="20"/>
        </w:rPr>
        <w:t>)</w:t>
      </w:r>
      <w:r w:rsidRPr="00D4130A">
        <w:rPr>
          <w:rFonts w:ascii="Cambria" w:hAnsi="Cambria"/>
          <w:color w:val="000000"/>
          <w:sz w:val="20"/>
        </w:rPr>
        <w:t xml:space="preserve"> of the same instrument, to the detriment of Diego Pablo Paredes. </w:t>
      </w:r>
    </w:p>
    <w:p w14:paraId="13D33633" w14:textId="77777777" w:rsidR="00680F0F" w:rsidRPr="00D4130A"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28D2F242" w14:textId="68D7121A" w:rsidR="00680F0F" w:rsidRPr="00D4130A" w:rsidRDefault="00680F0F" w:rsidP="00680F0F">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D4130A">
        <w:rPr>
          <w:rFonts w:ascii="Cambria" w:hAnsi="Cambria"/>
          <w:color w:val="000000"/>
          <w:sz w:val="20"/>
        </w:rPr>
        <w:t xml:space="preserve">On February 15, 2022, the Commission notified the parties of the </w:t>
      </w:r>
      <w:r w:rsidR="00AA214D" w:rsidRPr="00D4130A">
        <w:rPr>
          <w:rFonts w:ascii="Cambria" w:hAnsi="Cambria"/>
          <w:color w:val="000000"/>
          <w:sz w:val="20"/>
        </w:rPr>
        <w:t xml:space="preserve">start </w:t>
      </w:r>
      <w:r w:rsidRPr="00D4130A">
        <w:rPr>
          <w:rFonts w:ascii="Cambria" w:hAnsi="Cambria"/>
          <w:color w:val="000000"/>
          <w:sz w:val="20"/>
        </w:rPr>
        <w:t xml:space="preserve">of the friendly settlement process, which </w:t>
      </w:r>
      <w:r w:rsidR="00AA214D" w:rsidRPr="00D4130A">
        <w:rPr>
          <w:rFonts w:ascii="Cambria" w:hAnsi="Cambria"/>
          <w:color w:val="000000"/>
          <w:sz w:val="20"/>
        </w:rPr>
        <w:t xml:space="preserve">resulted in </w:t>
      </w:r>
      <w:r w:rsidRPr="00D4130A">
        <w:rPr>
          <w:rFonts w:ascii="Cambria" w:hAnsi="Cambria"/>
          <w:color w:val="000000"/>
          <w:sz w:val="20"/>
        </w:rPr>
        <w:t xml:space="preserve">the signing of a friendly settlement agreement (FSA) on February 23, 2022. On October 6, 2022, the State </w:t>
      </w:r>
      <w:r w:rsidR="00AA214D" w:rsidRPr="00D4130A">
        <w:rPr>
          <w:rFonts w:ascii="Cambria" w:hAnsi="Cambria"/>
          <w:color w:val="000000"/>
          <w:sz w:val="20"/>
        </w:rPr>
        <w:t xml:space="preserve">informed of </w:t>
      </w:r>
      <w:r w:rsidRPr="00D4130A">
        <w:rPr>
          <w:rFonts w:ascii="Cambria" w:hAnsi="Cambria"/>
          <w:color w:val="000000"/>
          <w:sz w:val="20"/>
        </w:rPr>
        <w:t xml:space="preserve">the issuance of </w:t>
      </w:r>
      <w:r w:rsidR="00AA214D" w:rsidRPr="00D4130A">
        <w:rPr>
          <w:rFonts w:ascii="Cambria" w:hAnsi="Cambria"/>
          <w:color w:val="000000"/>
          <w:sz w:val="20"/>
        </w:rPr>
        <w:t xml:space="preserve">Executive </w:t>
      </w:r>
      <w:r w:rsidRPr="00D4130A">
        <w:rPr>
          <w:rFonts w:ascii="Cambria" w:hAnsi="Cambria"/>
          <w:color w:val="000000"/>
          <w:sz w:val="20"/>
        </w:rPr>
        <w:t xml:space="preserve">Decree No. 673/2022 approving the </w:t>
      </w:r>
      <w:r w:rsidR="00AA214D" w:rsidRPr="00D4130A">
        <w:rPr>
          <w:rFonts w:ascii="Cambria" w:hAnsi="Cambria"/>
          <w:color w:val="000000"/>
          <w:sz w:val="20"/>
        </w:rPr>
        <w:t xml:space="preserve">friendly settlement </w:t>
      </w:r>
      <w:r w:rsidRPr="00D4130A">
        <w:rPr>
          <w:rFonts w:ascii="Cambria" w:hAnsi="Cambria"/>
          <w:color w:val="000000"/>
          <w:sz w:val="20"/>
        </w:rPr>
        <w:t xml:space="preserve">agreement and requested </w:t>
      </w:r>
      <w:r w:rsidR="00AA214D" w:rsidRPr="00D4130A">
        <w:rPr>
          <w:rFonts w:ascii="Cambria" w:hAnsi="Cambria"/>
          <w:color w:val="000000"/>
          <w:sz w:val="20"/>
        </w:rPr>
        <w:t xml:space="preserve">the corresponding </w:t>
      </w:r>
      <w:r w:rsidRPr="00D4130A">
        <w:rPr>
          <w:rFonts w:ascii="Cambria" w:hAnsi="Cambria"/>
          <w:color w:val="000000"/>
          <w:sz w:val="20"/>
        </w:rPr>
        <w:t xml:space="preserve">approval </w:t>
      </w:r>
      <w:r w:rsidR="00AA214D" w:rsidRPr="00D4130A">
        <w:rPr>
          <w:rFonts w:ascii="Cambria" w:hAnsi="Cambria"/>
          <w:color w:val="000000"/>
          <w:sz w:val="20"/>
        </w:rPr>
        <w:t xml:space="preserve">from the Commission </w:t>
      </w:r>
      <w:r w:rsidRPr="00D4130A">
        <w:rPr>
          <w:rFonts w:ascii="Cambria" w:hAnsi="Cambria"/>
          <w:color w:val="000000"/>
          <w:sz w:val="20"/>
        </w:rPr>
        <w:t xml:space="preserve">and publication of the agreement. For their part, on November 23, 2022, the petitioners requested the Commission the corresponding approval, as established in the FSA. Likewise, on April 17, 2023, the State </w:t>
      </w:r>
      <w:r w:rsidR="00AA214D" w:rsidRPr="00D4130A">
        <w:rPr>
          <w:rFonts w:ascii="Cambria" w:hAnsi="Cambria"/>
          <w:color w:val="000000"/>
          <w:sz w:val="20"/>
        </w:rPr>
        <w:t xml:space="preserve">provided proof </w:t>
      </w:r>
      <w:r w:rsidRPr="00D4130A">
        <w:rPr>
          <w:rFonts w:ascii="Cambria" w:hAnsi="Cambria"/>
          <w:color w:val="000000"/>
          <w:sz w:val="20"/>
        </w:rPr>
        <w:t xml:space="preserve">of approval of the </w:t>
      </w:r>
      <w:r w:rsidR="000B2A52">
        <w:rPr>
          <w:rFonts w:ascii="Cambria" w:hAnsi="Cambria"/>
          <w:color w:val="000000"/>
          <w:sz w:val="20"/>
        </w:rPr>
        <w:t>m</w:t>
      </w:r>
      <w:r w:rsidRPr="00D4130A">
        <w:rPr>
          <w:rFonts w:ascii="Cambria" w:hAnsi="Cambria"/>
          <w:color w:val="000000"/>
          <w:sz w:val="20"/>
        </w:rPr>
        <w:t xml:space="preserve">inisterial </w:t>
      </w:r>
      <w:r w:rsidR="000B2A52">
        <w:rPr>
          <w:rFonts w:ascii="Cambria" w:hAnsi="Cambria"/>
          <w:color w:val="000000"/>
          <w:sz w:val="20"/>
        </w:rPr>
        <w:t>r</w:t>
      </w:r>
      <w:r w:rsidRPr="00D4130A">
        <w:rPr>
          <w:rFonts w:ascii="Cambria" w:hAnsi="Cambria"/>
          <w:color w:val="000000"/>
          <w:sz w:val="20"/>
        </w:rPr>
        <w:t xml:space="preserve">esolution that was the </w:t>
      </w:r>
      <w:r w:rsidR="00AA214D" w:rsidRPr="00D4130A">
        <w:rPr>
          <w:rFonts w:ascii="Cambria" w:hAnsi="Cambria"/>
          <w:color w:val="000000"/>
          <w:sz w:val="20"/>
        </w:rPr>
        <w:t xml:space="preserve">object </w:t>
      </w:r>
      <w:r w:rsidRPr="00D4130A">
        <w:rPr>
          <w:rFonts w:ascii="Cambria" w:hAnsi="Cambria"/>
          <w:color w:val="000000"/>
          <w:sz w:val="20"/>
        </w:rPr>
        <w:t>of the friendly settlement.</w:t>
      </w:r>
    </w:p>
    <w:p w14:paraId="3FA49C80" w14:textId="77777777" w:rsidR="00680F0F" w:rsidRPr="00D4130A"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2914C221" w14:textId="018F3542" w:rsidR="00680F0F" w:rsidRPr="00D4130A" w:rsidRDefault="00680F0F" w:rsidP="00680F0F">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D4130A">
        <w:rPr>
          <w:rFonts w:ascii="Cambria" w:hAnsi="Cambria"/>
          <w:color w:val="000000"/>
          <w:sz w:val="20"/>
        </w:rPr>
        <w:t>Pursuant to Articles 49 of the American Convention and 40</w:t>
      </w:r>
      <w:r w:rsidR="00AA214D" w:rsidRPr="00D4130A">
        <w:rPr>
          <w:rFonts w:ascii="Cambria" w:hAnsi="Cambria"/>
          <w:color w:val="000000"/>
          <w:sz w:val="20"/>
        </w:rPr>
        <w:t xml:space="preserve"> (5)</w:t>
      </w:r>
      <w:r w:rsidRPr="00D4130A">
        <w:rPr>
          <w:rFonts w:ascii="Cambria" w:hAnsi="Cambria"/>
          <w:color w:val="000000"/>
          <w:sz w:val="20"/>
        </w:rPr>
        <w:t xml:space="preserve"> of the Rules of Procedure</w:t>
      </w:r>
      <w:r w:rsidR="00AA214D" w:rsidRPr="00D4130A">
        <w:rPr>
          <w:rFonts w:ascii="Cambria" w:hAnsi="Cambria"/>
          <w:color w:val="000000"/>
          <w:sz w:val="20"/>
        </w:rPr>
        <w:t xml:space="preserve"> of the Commission</w:t>
      </w:r>
      <w:r w:rsidRPr="00D4130A">
        <w:rPr>
          <w:rFonts w:ascii="Cambria" w:hAnsi="Cambria"/>
          <w:color w:val="000000"/>
          <w:sz w:val="20"/>
        </w:rPr>
        <w:t xml:space="preserve">, this friendly settlement report includes a summary of the </w:t>
      </w:r>
      <w:r w:rsidR="00AA214D" w:rsidRPr="00D4130A">
        <w:rPr>
          <w:rFonts w:ascii="Cambria" w:hAnsi="Cambria"/>
          <w:color w:val="000000"/>
          <w:sz w:val="20"/>
        </w:rPr>
        <w:t xml:space="preserve">facts alleged by the </w:t>
      </w:r>
      <w:r w:rsidRPr="00D4130A">
        <w:rPr>
          <w:rFonts w:ascii="Cambria" w:hAnsi="Cambria"/>
          <w:color w:val="000000"/>
          <w:sz w:val="20"/>
        </w:rPr>
        <w:t>petitioners</w:t>
      </w:r>
      <w:r w:rsidR="00AA214D" w:rsidRPr="00D4130A">
        <w:rPr>
          <w:rFonts w:ascii="Cambria" w:hAnsi="Cambria"/>
          <w:color w:val="000000"/>
          <w:sz w:val="20"/>
        </w:rPr>
        <w:t xml:space="preserve"> </w:t>
      </w:r>
      <w:r w:rsidRPr="00D4130A">
        <w:rPr>
          <w:rFonts w:ascii="Cambria" w:hAnsi="Cambria"/>
          <w:color w:val="000000"/>
          <w:sz w:val="20"/>
        </w:rPr>
        <w:t xml:space="preserve">and </w:t>
      </w:r>
      <w:r w:rsidR="003840AF" w:rsidRPr="00D4130A">
        <w:rPr>
          <w:rFonts w:ascii="Cambria" w:hAnsi="Cambria"/>
          <w:color w:val="000000"/>
          <w:sz w:val="20"/>
        </w:rPr>
        <w:t xml:space="preserve">a transcription of </w:t>
      </w:r>
      <w:r w:rsidRPr="00D4130A">
        <w:rPr>
          <w:rFonts w:ascii="Cambria" w:hAnsi="Cambria"/>
          <w:color w:val="000000"/>
          <w:sz w:val="20"/>
        </w:rPr>
        <w:t>friendly settlement agreement signed on February 23, 2022</w:t>
      </w:r>
      <w:r w:rsidR="00480C88" w:rsidRPr="00D4130A">
        <w:rPr>
          <w:rFonts w:ascii="Cambria" w:hAnsi="Cambria"/>
          <w:color w:val="000000"/>
          <w:sz w:val="20"/>
        </w:rPr>
        <w:t>,</w:t>
      </w:r>
      <w:r w:rsidRPr="00D4130A">
        <w:rPr>
          <w:rFonts w:ascii="Cambria" w:hAnsi="Cambria"/>
          <w:color w:val="000000"/>
          <w:sz w:val="20"/>
        </w:rPr>
        <w:t xml:space="preserve"> by the petitioners and representatives of the Argentine State. Likewise, the agreement signed between the parties is approved and it is agreed that this report will be published in the Annual Report to the General Assembly of the Organization of American States</w:t>
      </w:r>
      <w:r w:rsidRPr="00D4130A">
        <w:rPr>
          <w:rStyle w:val="normaltextrun"/>
          <w:rFonts w:ascii="Cambria" w:hAnsi="Cambria"/>
          <w:color w:val="000000"/>
          <w:sz w:val="20"/>
        </w:rPr>
        <w:t>.</w:t>
      </w:r>
    </w:p>
    <w:p w14:paraId="0CDF31C9" w14:textId="77777777" w:rsidR="00DA37B6" w:rsidRPr="00F868D0"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Pr>
          <w:b/>
          <w:sz w:val="20"/>
        </w:rPr>
        <w:t>THE FACTS ALLEGED</w:t>
      </w:r>
      <w:r>
        <w:rPr>
          <w:b/>
          <w:color w:val="000000" w:themeColor="text1"/>
          <w:sz w:val="20"/>
        </w:rPr>
        <w:t xml:space="preserve"> </w:t>
      </w:r>
    </w:p>
    <w:p w14:paraId="47E28A2F"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35683904" w14:textId="7B709DEC" w:rsidR="00680F0F" w:rsidRPr="00680F0F" w:rsidRDefault="00680F0F" w:rsidP="00680F0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uppressAutoHyphens/>
        <w:ind w:left="0" w:firstLine="720"/>
        <w:jc w:val="both"/>
        <w:rPr>
          <w:sz w:val="20"/>
          <w:szCs w:val="20"/>
        </w:rPr>
      </w:pPr>
      <w:r>
        <w:rPr>
          <w:sz w:val="20"/>
        </w:rPr>
        <w:t>According to the petition, the alleged victim, Diego Paredes, belongs to a family who was forced into exile to preserve their life and liberty.</w:t>
      </w:r>
      <w:r>
        <w:rPr>
          <w:rStyle w:val="FootnoteReference"/>
          <w:sz w:val="20"/>
          <w:szCs w:val="20"/>
          <w:lang w:val="en"/>
        </w:rPr>
        <w:footnoteReference w:id="2"/>
      </w:r>
      <w:r>
        <w:rPr>
          <w:sz w:val="20"/>
        </w:rPr>
        <w:t xml:space="preserve"> A child then, he was forced to live in exile from December 4, 1978, to December 10, 1984, with his stepfather, Ángel Pérez, his mother, Berta Paredes, and his brother, Alejandro Pérez Paredes. The petitioners explain that the alleged victim’s stepfather was a union member —the records clerk of the Association of State Workers (</w:t>
      </w:r>
      <w:r>
        <w:rPr>
          <w:i/>
          <w:sz w:val="20"/>
        </w:rPr>
        <w:t>Asociación de Trabajadores del Estado</w:t>
      </w:r>
      <w:r>
        <w:rPr>
          <w:sz w:val="20"/>
        </w:rPr>
        <w:t xml:space="preserve">) in the city of Ramos Mejía, province of Buenos Aires— and worked at Hospital Posadas. They indicate that in 1976, on being accused of subversion, the stepfather was dismissed from his job. They explain that, consequently, the family was subjected to house searches by the state security forces. They assert that this, along with the military takeover of Hospital Paredes and the numerous detentions of hospital staff, forced the family into internal displacement until due to new attempts by state agents to locate his stepfather, the family had to exile in </w:t>
      </w:r>
      <w:r>
        <w:rPr>
          <w:sz w:val="20"/>
        </w:rPr>
        <w:lastRenderedPageBreak/>
        <w:t xml:space="preserve">December 1978. According to the records, the family members were granted refugee status on July 2, 1979, by the United Nations High Commissioner for Refugees Office in Spain and by the government of Spain on October 1 that year. </w:t>
      </w:r>
    </w:p>
    <w:p w14:paraId="7A602F1B" w14:textId="77777777" w:rsidR="00680F0F" w:rsidRDefault="00680F0F" w:rsidP="00680F0F">
      <w:pPr>
        <w:suppressAutoHyphens/>
        <w:jc w:val="both"/>
        <w:rPr>
          <w:rFonts w:ascii="Cambria" w:hAnsi="Cambria"/>
          <w:sz w:val="20"/>
          <w:szCs w:val="20"/>
        </w:rPr>
      </w:pPr>
    </w:p>
    <w:p w14:paraId="56FC2B26" w14:textId="77777777" w:rsidR="00680F0F" w:rsidRPr="00A75189" w:rsidRDefault="00680F0F" w:rsidP="00680F0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uppressAutoHyphens/>
        <w:ind w:left="0" w:firstLine="720"/>
        <w:jc w:val="both"/>
        <w:rPr>
          <w:rFonts w:ascii="Cambria" w:hAnsi="Cambria"/>
          <w:sz w:val="20"/>
          <w:szCs w:val="20"/>
        </w:rPr>
      </w:pPr>
      <w:r>
        <w:rPr>
          <w:rFonts w:ascii="Cambria" w:hAnsi="Cambria"/>
          <w:sz w:val="20"/>
        </w:rPr>
        <w:t>The petitioners sustain that, because of the exile suffered, the alleged victim requested on October 12, 2005, the benefit established under Law No. 24.043 before the Ministry of Justice, which was dismissed by Resolution No. 197 on February 1, 2008. They indicate that the administrative authority recognized that the alleged victim was living abroad in a forced exile but concluded that, following Opinion No. 146-06 of the Treasury Attorney General, under whose interpretation of the scope of Law No 24.043 Mr. Paredes was not entitled to compensation. They allege that on February 20, 2008, Mr. Paredes lodged an appeal before the National Federal Court of Appeals for Contentious Administrative Matters (</w:t>
      </w:r>
      <w:r>
        <w:rPr>
          <w:rFonts w:ascii="Cambria" w:hAnsi="Cambria"/>
          <w:i/>
          <w:sz w:val="20"/>
        </w:rPr>
        <w:t xml:space="preserve">Cámara Nacional de </w:t>
      </w:r>
      <w:proofErr w:type="spellStart"/>
      <w:r>
        <w:rPr>
          <w:rFonts w:ascii="Cambria" w:hAnsi="Cambria"/>
          <w:i/>
          <w:sz w:val="20"/>
        </w:rPr>
        <w:t>Apelaciones</w:t>
      </w:r>
      <w:proofErr w:type="spellEnd"/>
      <w:r>
        <w:rPr>
          <w:rFonts w:ascii="Cambria" w:hAnsi="Cambria"/>
          <w:i/>
          <w:sz w:val="20"/>
        </w:rPr>
        <w:t xml:space="preserve"> en lo </w:t>
      </w:r>
      <w:proofErr w:type="spellStart"/>
      <w:r>
        <w:rPr>
          <w:rFonts w:ascii="Cambria" w:hAnsi="Cambria"/>
          <w:i/>
          <w:sz w:val="20"/>
        </w:rPr>
        <w:t>Contencioso</w:t>
      </w:r>
      <w:proofErr w:type="spellEnd"/>
      <w:r>
        <w:rPr>
          <w:rFonts w:ascii="Cambria" w:hAnsi="Cambria"/>
          <w:i/>
          <w:sz w:val="20"/>
        </w:rPr>
        <w:t xml:space="preserve"> </w:t>
      </w:r>
      <w:proofErr w:type="spellStart"/>
      <w:r>
        <w:rPr>
          <w:rFonts w:ascii="Cambria" w:hAnsi="Cambria"/>
          <w:i/>
          <w:sz w:val="20"/>
        </w:rPr>
        <w:t>Administrativo</w:t>
      </w:r>
      <w:proofErr w:type="spellEnd"/>
      <w:r>
        <w:rPr>
          <w:rFonts w:ascii="Cambria" w:hAnsi="Cambria"/>
          <w:sz w:val="20"/>
        </w:rPr>
        <w:t xml:space="preserve">) claiming, among other points, that the resolution was overtly at variance with the jurisprudence of the Supreme Court of Justice (“Supreme Court” or “CSJN”) and the decisions on several applications regarding situations of exile not preceded by deprivation of liberty. </w:t>
      </w:r>
    </w:p>
    <w:p w14:paraId="231032E3" w14:textId="77777777" w:rsidR="00680F0F" w:rsidRPr="004D3F04" w:rsidRDefault="00680F0F" w:rsidP="00680F0F">
      <w:pPr>
        <w:suppressAutoHyphens/>
        <w:jc w:val="both"/>
        <w:rPr>
          <w:rFonts w:ascii="Cambria" w:hAnsi="Cambria"/>
          <w:sz w:val="20"/>
          <w:szCs w:val="20"/>
        </w:rPr>
      </w:pPr>
    </w:p>
    <w:p w14:paraId="3F7CFF63" w14:textId="77777777" w:rsidR="00680F0F" w:rsidRDefault="00680F0F" w:rsidP="00680F0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left="0" w:firstLine="720"/>
        <w:jc w:val="both"/>
        <w:rPr>
          <w:rFonts w:ascii="Cambria" w:hAnsi="Cambria"/>
          <w:sz w:val="20"/>
          <w:szCs w:val="20"/>
        </w:rPr>
      </w:pPr>
      <w:r>
        <w:rPr>
          <w:rFonts w:ascii="Cambria" w:hAnsi="Cambria"/>
          <w:sz w:val="20"/>
        </w:rPr>
        <w:t xml:space="preserve">The petitioners affirm that on April 14, 2009, the National Federal Court of Appeals confirmed the resolution issued by the Ministry, on the grounds that the alleged victim’s exile had to be understood as a case of voluntary exile and that there was no proof of his residence abroad, for the UNHCR certificate was insufficient. On May 21, 2009, Mr. Paredes filed an extraordinary federal appeal before the Supreme Court alleging the importance of determining the validity and scope of the provisions of Law No. 24.043, the unconstitutional and arbitrary nature of the resolution, and the violation of the right of defense and the principle of equal protection of the law. Although on October 8, 2009, the Supreme Court granted the extraordinary federal appeal, on March 23, 2010, the same court declared that the remedy had been granted wrongly as it did not meet the requirement on the number of lines per page established in rule 4/2007. The petitioners were notified on April 7, 2010. They explain that before the court heard the appeal, the alleged victim tried to file the same brief but with a different page layout; that, however, the court dismissed it, preventing him from amending the document. </w:t>
      </w:r>
    </w:p>
    <w:p w14:paraId="395E5966" w14:textId="77777777" w:rsidR="00680F0F" w:rsidRDefault="00680F0F" w:rsidP="00680F0F">
      <w:pPr>
        <w:tabs>
          <w:tab w:val="left" w:pos="720"/>
        </w:tabs>
        <w:suppressAutoHyphens/>
        <w:ind w:firstLine="720"/>
        <w:jc w:val="both"/>
        <w:rPr>
          <w:rFonts w:ascii="Cambria" w:hAnsi="Cambria"/>
          <w:sz w:val="20"/>
          <w:szCs w:val="20"/>
        </w:rPr>
      </w:pPr>
    </w:p>
    <w:p w14:paraId="73986F20" w14:textId="77777777" w:rsidR="00680F0F" w:rsidRPr="006736CB" w:rsidRDefault="00680F0F" w:rsidP="00680F0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s>
        <w:suppressAutoHyphens/>
        <w:ind w:left="0" w:firstLine="720"/>
        <w:jc w:val="both"/>
        <w:rPr>
          <w:rFonts w:ascii="Cambria" w:hAnsi="Cambria"/>
          <w:sz w:val="20"/>
          <w:szCs w:val="20"/>
        </w:rPr>
      </w:pPr>
      <w:r>
        <w:rPr>
          <w:rFonts w:ascii="Cambria" w:hAnsi="Cambria"/>
          <w:sz w:val="20"/>
        </w:rPr>
        <w:t xml:space="preserve">The petitioners point out that the Supreme Court of Justice validated this irregular proceeding by omission by not considering the extraordinary appeal due to layout problems. Finally, they allege that several times the State itself (by the Executive and the Judicial branches) has recognized exile as a form of restriction of liberty included in the grounds foreseen in Law No. 24.043, even in the face of the same facts as in the cases concerning the alleged victim’s mother, Berta Paredes, his siblings Alejandro Pérez Paredes and Julia Pérez Paredes, and his stepfather, Angel Paredes. </w:t>
      </w:r>
    </w:p>
    <w:p w14:paraId="0EFEAE48" w14:textId="77777777" w:rsidR="00DA37B6" w:rsidRP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Default="00FA675D" w:rsidP="00B07B2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stheme="minorHAnsi"/>
          <w:b/>
          <w:color w:val="000000" w:themeColor="text1"/>
          <w:sz w:val="20"/>
          <w:szCs w:val="20"/>
        </w:rPr>
      </w:pPr>
      <w:r>
        <w:rPr>
          <w:rFonts w:ascii="Cambria" w:hAnsi="Cambria"/>
          <w:b/>
          <w:color w:val="000000" w:themeColor="text1"/>
          <w:sz w:val="20"/>
        </w:rPr>
        <w:t>FRIENDLY SETTLEMENT</w:t>
      </w:r>
    </w:p>
    <w:p w14:paraId="1009841C"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271202B2" w14:textId="151F6F18" w:rsidR="00680F0F" w:rsidRPr="00D4130A" w:rsidRDefault="00680F0F" w:rsidP="00B07B28">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D4130A">
        <w:rPr>
          <w:rFonts w:ascii="Cambria" w:hAnsi="Cambria"/>
          <w:sz w:val="20"/>
        </w:rPr>
        <w:t xml:space="preserve">On February 23, 2022, the parties signed </w:t>
      </w:r>
      <w:r w:rsidR="00B07B28" w:rsidRPr="00D4130A">
        <w:rPr>
          <w:rFonts w:ascii="Cambria" w:hAnsi="Cambria"/>
          <w:sz w:val="20"/>
        </w:rPr>
        <w:t xml:space="preserve">a </w:t>
      </w:r>
      <w:r w:rsidRPr="00D4130A">
        <w:rPr>
          <w:rFonts w:ascii="Cambria" w:hAnsi="Cambria"/>
          <w:sz w:val="20"/>
        </w:rPr>
        <w:t>friendly settlement agreement</w:t>
      </w:r>
      <w:r w:rsidR="00B07B28" w:rsidRPr="00D4130A">
        <w:rPr>
          <w:rFonts w:ascii="Cambria" w:hAnsi="Cambria"/>
          <w:sz w:val="20"/>
        </w:rPr>
        <w:t>, which states the following</w:t>
      </w:r>
      <w:r w:rsidRPr="00D4130A">
        <w:rPr>
          <w:rFonts w:ascii="Cambria" w:hAnsi="Cambria"/>
          <w:sz w:val="20"/>
        </w:rPr>
        <w:t>:</w:t>
      </w:r>
    </w:p>
    <w:p w14:paraId="78FE28F9" w14:textId="77777777" w:rsidR="00680F0F" w:rsidRPr="00D4130A"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4976CF25" w14:textId="77777777" w:rsidR="00680F0F" w:rsidRPr="00D4130A" w:rsidRDefault="00680F0F" w:rsidP="001E4CF2">
      <w:pPr>
        <w:pStyle w:val="NormalWeb"/>
        <w:spacing w:before="0" w:beforeAutospacing="0" w:after="120" w:afterAutospacing="0"/>
        <w:ind w:left="734" w:right="360"/>
        <w:jc w:val="center"/>
        <w:rPr>
          <w:rFonts w:ascii="Cambria" w:hAnsi="Cambria"/>
          <w:b/>
          <w:bCs/>
          <w:color w:val="000000"/>
          <w:sz w:val="20"/>
          <w:szCs w:val="20"/>
        </w:rPr>
      </w:pPr>
      <w:r w:rsidRPr="00D4130A">
        <w:rPr>
          <w:rFonts w:ascii="Cambria" w:hAnsi="Cambria"/>
          <w:b/>
          <w:color w:val="000000"/>
          <w:sz w:val="20"/>
        </w:rPr>
        <w:t>FRIENDLY SETTLEMENT AGREEMENT</w:t>
      </w:r>
    </w:p>
    <w:p w14:paraId="6DF58D7D" w14:textId="463633FF"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The parties in Case </w:t>
      </w:r>
      <w:r w:rsidR="00FC26B1" w:rsidRPr="00D4130A">
        <w:rPr>
          <w:rFonts w:ascii="Cambria" w:hAnsi="Cambria"/>
          <w:color w:val="000000"/>
          <w:sz w:val="20"/>
        </w:rPr>
        <w:t>nº</w:t>
      </w:r>
      <w:r w:rsidRPr="00D4130A">
        <w:rPr>
          <w:rFonts w:ascii="Cambria" w:hAnsi="Cambria"/>
          <w:color w:val="000000"/>
          <w:sz w:val="20"/>
        </w:rPr>
        <w:t xml:space="preserve"> 13.888 </w:t>
      </w:r>
      <w:r w:rsidR="00FC26B1" w:rsidRPr="00D4130A">
        <w:rPr>
          <w:rFonts w:ascii="Cambria" w:hAnsi="Cambria"/>
          <w:color w:val="000000"/>
          <w:sz w:val="20"/>
        </w:rPr>
        <w:t xml:space="preserve">of the registry </w:t>
      </w:r>
      <w:r w:rsidRPr="00D4130A">
        <w:rPr>
          <w:rFonts w:ascii="Cambria" w:hAnsi="Cambria"/>
          <w:color w:val="000000"/>
          <w:sz w:val="20"/>
        </w:rPr>
        <w:t xml:space="preserve">of the Inter-American Commission on Human Rights (hereinafter "IACHR" or the "Inter-American Commission"): the petitioner, Diego Pablo Paredes, with his </w:t>
      </w:r>
      <w:r w:rsidR="00FC26B1" w:rsidRPr="00D4130A">
        <w:rPr>
          <w:rFonts w:ascii="Cambria" w:hAnsi="Cambria"/>
          <w:color w:val="000000"/>
          <w:sz w:val="20"/>
        </w:rPr>
        <w:t xml:space="preserve">legal counsel </w:t>
      </w:r>
      <w:r w:rsidRPr="00D4130A">
        <w:rPr>
          <w:rFonts w:ascii="Cambria" w:hAnsi="Cambria"/>
          <w:color w:val="000000"/>
          <w:sz w:val="20"/>
        </w:rPr>
        <w:t xml:space="preserve"> Dr. Elena Carmen Moreno and the sponsorship of Dr. Myriam Carsen, and the </w:t>
      </w:r>
      <w:r w:rsidR="00E54B91" w:rsidRPr="00D4130A">
        <w:rPr>
          <w:rFonts w:ascii="Cambria" w:hAnsi="Cambria"/>
          <w:color w:val="000000"/>
          <w:sz w:val="20"/>
        </w:rPr>
        <w:t xml:space="preserve">Republic of </w:t>
      </w:r>
      <w:r w:rsidRPr="00D4130A">
        <w:rPr>
          <w:rFonts w:ascii="Cambria" w:hAnsi="Cambria"/>
          <w:color w:val="000000"/>
          <w:sz w:val="20"/>
        </w:rPr>
        <w:t>Argentin</w:t>
      </w:r>
      <w:r w:rsidR="00E54B91" w:rsidRPr="00D4130A">
        <w:rPr>
          <w:rFonts w:ascii="Cambria" w:hAnsi="Cambria"/>
          <w:color w:val="000000"/>
          <w:sz w:val="20"/>
        </w:rPr>
        <w:t>a</w:t>
      </w:r>
      <w:r w:rsidRPr="00D4130A">
        <w:rPr>
          <w:rFonts w:ascii="Cambria" w:hAnsi="Cambria"/>
          <w:color w:val="000000"/>
          <w:sz w:val="20"/>
        </w:rPr>
        <w:t xml:space="preserve">, as a State party to the American Convention on Human Rights (hereinafter the "American Convention"), acting under the express mandate of Article 99.11, represented by the Undersecretary for International Human Rights Protection and Liaison and the National Director of International Legal Affairs in Human Rights Matters of the National Human Rights Secretariat, Dr. Andrea </w:t>
      </w:r>
      <w:proofErr w:type="spellStart"/>
      <w:r w:rsidRPr="00D4130A">
        <w:rPr>
          <w:rFonts w:ascii="Cambria" w:hAnsi="Cambria"/>
          <w:color w:val="000000"/>
          <w:sz w:val="20"/>
        </w:rPr>
        <w:t>Pochak</w:t>
      </w:r>
      <w:proofErr w:type="spellEnd"/>
      <w:r w:rsidRPr="00D4130A">
        <w:rPr>
          <w:rFonts w:ascii="Cambria" w:hAnsi="Cambria"/>
          <w:color w:val="000000"/>
          <w:sz w:val="20"/>
        </w:rPr>
        <w:t xml:space="preserve"> and Dr. Gabriela </w:t>
      </w:r>
      <w:proofErr w:type="spellStart"/>
      <w:r w:rsidRPr="00D4130A">
        <w:rPr>
          <w:rFonts w:ascii="Cambria" w:hAnsi="Cambria"/>
          <w:color w:val="000000"/>
          <w:sz w:val="20"/>
        </w:rPr>
        <w:t>Kletzel</w:t>
      </w:r>
      <w:proofErr w:type="spellEnd"/>
      <w:r w:rsidRPr="00D4130A">
        <w:rPr>
          <w:rFonts w:ascii="Cambria" w:hAnsi="Cambria"/>
          <w:color w:val="000000"/>
          <w:sz w:val="20"/>
        </w:rPr>
        <w:t>, respectively; and the Director of International Human Rights Litigation of the Ministry of Foreign Affairs, International Trade and Worship of the Nation, Dr. A. Javier Salgado, have the honor to inform the IACHR that they have reached a friendly settlement agreement in the case, the contents of which are set forth below.</w:t>
      </w:r>
    </w:p>
    <w:p w14:paraId="06467BB3" w14:textId="77777777" w:rsidR="00973ABF" w:rsidRDefault="00973ABF" w:rsidP="001E4CF2">
      <w:pPr>
        <w:pStyle w:val="NormalWeb"/>
        <w:spacing w:before="0" w:beforeAutospacing="0" w:after="120" w:afterAutospacing="0"/>
        <w:ind w:left="734" w:right="360" w:firstLine="720"/>
        <w:jc w:val="both"/>
        <w:rPr>
          <w:rFonts w:ascii="Cambria" w:hAnsi="Cambria"/>
          <w:b/>
          <w:color w:val="000000"/>
          <w:sz w:val="20"/>
        </w:rPr>
      </w:pPr>
    </w:p>
    <w:p w14:paraId="0041E675" w14:textId="2F3102D5" w:rsidR="00680F0F" w:rsidRPr="00D4130A" w:rsidRDefault="00680F0F" w:rsidP="001E4CF2">
      <w:pPr>
        <w:pStyle w:val="NormalWeb"/>
        <w:spacing w:before="0" w:beforeAutospacing="0" w:after="120" w:afterAutospacing="0"/>
        <w:ind w:left="734" w:right="360" w:firstLine="720"/>
        <w:jc w:val="both"/>
        <w:rPr>
          <w:rFonts w:ascii="Cambria" w:hAnsi="Cambria"/>
          <w:b/>
          <w:bCs/>
          <w:color w:val="000000"/>
          <w:sz w:val="20"/>
          <w:szCs w:val="20"/>
        </w:rPr>
      </w:pPr>
      <w:r w:rsidRPr="00D4130A">
        <w:rPr>
          <w:rFonts w:ascii="Cambria" w:hAnsi="Cambria"/>
          <w:b/>
          <w:color w:val="000000"/>
          <w:sz w:val="20"/>
        </w:rPr>
        <w:lastRenderedPageBreak/>
        <w:t>I.  Background</w:t>
      </w:r>
    </w:p>
    <w:p w14:paraId="7B32B54C" w14:textId="77777777"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On October 5, 2010, Diego Pablo Paredes filed a petition before the Inter-American Commission for violation of Articles 8 (judicial guarantees), 24 (equality before the law), and 25 (judicial protection) of the American Convention, in conjunction with Article 1.1 of the same instrument.</w:t>
      </w:r>
    </w:p>
    <w:p w14:paraId="6362178D" w14:textId="28759169"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In his complaint, the petitioner states that Ángel Pérez, the petitioner's stepfather, was the Recording Clerk of the State Workers' Association of Ramos Mejía, Province of Buenos Aires, and that because of his union militancy, his family </w:t>
      </w:r>
      <w:r w:rsidR="004B6882" w:rsidRPr="00D4130A">
        <w:rPr>
          <w:rFonts w:ascii="Cambria" w:hAnsi="Cambria"/>
          <w:color w:val="000000"/>
          <w:sz w:val="20"/>
        </w:rPr>
        <w:t xml:space="preserve">were victims </w:t>
      </w:r>
      <w:r w:rsidRPr="00D4130A">
        <w:rPr>
          <w:rFonts w:ascii="Cambria" w:hAnsi="Cambria"/>
          <w:color w:val="000000"/>
          <w:sz w:val="20"/>
        </w:rPr>
        <w:t>of persecution and raids by the security forces during the last civil-military dictatorship.</w:t>
      </w:r>
    </w:p>
    <w:p w14:paraId="452E5683" w14:textId="77777777"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He indicates that for this reason they were forced to move within the Argentine State, until December 4, 1978, when they managed to travel to Spain, where UNHCR recognized their refugee status.</w:t>
      </w:r>
    </w:p>
    <w:p w14:paraId="1DB9B4B6" w14:textId="10860C36"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Due to these circumstances, Mr. Paredes filed a request</w:t>
      </w:r>
      <w:r w:rsidR="004B6882" w:rsidRPr="00D4130A">
        <w:rPr>
          <w:rFonts w:ascii="Cambria" w:hAnsi="Cambria"/>
          <w:color w:val="000000"/>
          <w:sz w:val="20"/>
        </w:rPr>
        <w:t xml:space="preserve"> with the Ministry of Justice and Human Rights </w:t>
      </w:r>
      <w:r w:rsidRPr="00D4130A">
        <w:rPr>
          <w:rFonts w:ascii="Cambria" w:hAnsi="Cambria"/>
          <w:color w:val="000000"/>
          <w:sz w:val="20"/>
        </w:rPr>
        <w:t xml:space="preserve">for the granting of the benefit </w:t>
      </w:r>
      <w:r w:rsidR="004B6882" w:rsidRPr="00D4130A">
        <w:rPr>
          <w:rFonts w:ascii="Cambria" w:hAnsi="Cambria"/>
          <w:color w:val="000000"/>
          <w:sz w:val="20"/>
        </w:rPr>
        <w:t xml:space="preserve">established </w:t>
      </w:r>
      <w:r w:rsidRPr="00D4130A">
        <w:rPr>
          <w:rFonts w:ascii="Cambria" w:hAnsi="Cambria"/>
          <w:color w:val="000000"/>
          <w:sz w:val="20"/>
        </w:rPr>
        <w:t xml:space="preserve">by Law </w:t>
      </w:r>
      <w:r w:rsidR="004B6882" w:rsidRPr="00D4130A">
        <w:rPr>
          <w:rFonts w:ascii="Cambria" w:hAnsi="Cambria"/>
          <w:color w:val="000000"/>
          <w:sz w:val="20"/>
        </w:rPr>
        <w:t xml:space="preserve">nº </w:t>
      </w:r>
      <w:r w:rsidRPr="00D4130A">
        <w:rPr>
          <w:rFonts w:ascii="Cambria" w:hAnsi="Cambria"/>
          <w:color w:val="000000"/>
          <w:sz w:val="20"/>
        </w:rPr>
        <w:t xml:space="preserve">24.043, which was </w:t>
      </w:r>
      <w:r w:rsidR="004B6882" w:rsidRPr="00D4130A">
        <w:rPr>
          <w:rFonts w:ascii="Cambria" w:hAnsi="Cambria"/>
          <w:color w:val="000000"/>
          <w:sz w:val="20"/>
        </w:rPr>
        <w:t>rejected</w:t>
      </w:r>
      <w:r w:rsidRPr="00D4130A">
        <w:rPr>
          <w:rFonts w:ascii="Cambria" w:hAnsi="Cambria"/>
          <w:color w:val="000000"/>
          <w:sz w:val="20"/>
        </w:rPr>
        <w:t>. The petition</w:t>
      </w:r>
      <w:r w:rsidR="004B6882" w:rsidRPr="00D4130A">
        <w:rPr>
          <w:rFonts w:ascii="Cambria" w:hAnsi="Cambria"/>
          <w:color w:val="000000"/>
          <w:sz w:val="20"/>
        </w:rPr>
        <w:t xml:space="preserve">er </w:t>
      </w:r>
      <w:r w:rsidRPr="00D4130A">
        <w:rPr>
          <w:rFonts w:ascii="Cambria" w:hAnsi="Cambria"/>
          <w:color w:val="000000"/>
          <w:sz w:val="20"/>
        </w:rPr>
        <w:t>stated before the IACHR that the administrative authority duly acknowledged that the alleged victim was abroad in forced exile, but considered that, in accordance with the decision of the Treasury Prosecutor of the Nation (</w:t>
      </w:r>
      <w:proofErr w:type="spellStart"/>
      <w:r w:rsidRPr="00D4130A">
        <w:rPr>
          <w:rFonts w:ascii="Cambria" w:hAnsi="Cambria"/>
          <w:i/>
          <w:iCs/>
          <w:color w:val="000000"/>
          <w:sz w:val="20"/>
        </w:rPr>
        <w:t>Procurador</w:t>
      </w:r>
      <w:proofErr w:type="spellEnd"/>
      <w:r w:rsidRPr="00D4130A">
        <w:rPr>
          <w:rFonts w:ascii="Cambria" w:hAnsi="Cambria"/>
          <w:i/>
          <w:iCs/>
          <w:color w:val="000000"/>
          <w:sz w:val="20"/>
        </w:rPr>
        <w:t xml:space="preserve"> del Tesoro de la </w:t>
      </w:r>
      <w:proofErr w:type="spellStart"/>
      <w:r w:rsidRPr="00D4130A">
        <w:rPr>
          <w:rFonts w:ascii="Cambria" w:hAnsi="Cambria"/>
          <w:i/>
          <w:iCs/>
          <w:color w:val="000000"/>
          <w:sz w:val="20"/>
        </w:rPr>
        <w:t>Nación</w:t>
      </w:r>
      <w:proofErr w:type="spellEnd"/>
      <w:r w:rsidRPr="00D4130A">
        <w:rPr>
          <w:rFonts w:ascii="Cambria" w:hAnsi="Cambria"/>
          <w:color w:val="000000"/>
          <w:sz w:val="20"/>
        </w:rPr>
        <w:t xml:space="preserve">) in Opinion No. 146-06, exile not preceded by deprivation of liberty should not be compensated, since it was not included in the provisions of the </w:t>
      </w:r>
      <w:proofErr w:type="gramStart"/>
      <w:r w:rsidRPr="00D4130A">
        <w:rPr>
          <w:rFonts w:ascii="Cambria" w:hAnsi="Cambria"/>
          <w:color w:val="000000"/>
          <w:sz w:val="20"/>
        </w:rPr>
        <w:t>aforementioned law</w:t>
      </w:r>
      <w:proofErr w:type="gramEnd"/>
      <w:r w:rsidRPr="00D4130A">
        <w:rPr>
          <w:rFonts w:ascii="Cambria" w:hAnsi="Cambria"/>
          <w:color w:val="000000"/>
          <w:sz w:val="20"/>
        </w:rPr>
        <w:t>. His claim was also rejected in court.</w:t>
      </w:r>
    </w:p>
    <w:p w14:paraId="78566AC7" w14:textId="5B315F24" w:rsidR="00680F0F" w:rsidRPr="00D4130A" w:rsidRDefault="004B6882"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On January 9, 2017, t</w:t>
      </w:r>
      <w:r w:rsidR="00680F0F" w:rsidRPr="00D4130A">
        <w:rPr>
          <w:rFonts w:ascii="Cambria" w:hAnsi="Cambria"/>
          <w:color w:val="000000"/>
          <w:sz w:val="20"/>
        </w:rPr>
        <w:t>he IACHR referred the original petition to the Argentine State.</w:t>
      </w:r>
    </w:p>
    <w:p w14:paraId="264B4B22" w14:textId="3AE8D026"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On December 6, 2019, the Commission adopted Admissibility Report</w:t>
      </w:r>
      <w:r w:rsidR="004B6882" w:rsidRPr="00D4130A">
        <w:rPr>
          <w:rFonts w:ascii="Cambria" w:hAnsi="Cambria"/>
          <w:color w:val="000000"/>
          <w:sz w:val="20"/>
        </w:rPr>
        <w:t xml:space="preserve"> nº</w:t>
      </w:r>
      <w:r w:rsidRPr="00D4130A">
        <w:rPr>
          <w:rFonts w:ascii="Cambria" w:hAnsi="Cambria"/>
          <w:color w:val="000000"/>
          <w:sz w:val="20"/>
        </w:rPr>
        <w:t xml:space="preserve">. 193/19. </w:t>
      </w:r>
      <w:r w:rsidR="004B6882" w:rsidRPr="00D4130A">
        <w:rPr>
          <w:rFonts w:ascii="Cambria" w:hAnsi="Cambria"/>
          <w:color w:val="000000"/>
          <w:sz w:val="20"/>
        </w:rPr>
        <w:t xml:space="preserve">Therein, it </w:t>
      </w:r>
      <w:r w:rsidRPr="00D4130A">
        <w:rPr>
          <w:rFonts w:ascii="Cambria" w:hAnsi="Cambria"/>
          <w:color w:val="000000"/>
          <w:sz w:val="20"/>
        </w:rPr>
        <w:t>declared the complaint admissible with respect to Articles 8, 24, and 25 of the American Convention in conjunction with Article 1.1 of th</w:t>
      </w:r>
      <w:r w:rsidR="004B6882" w:rsidRPr="00D4130A">
        <w:rPr>
          <w:rFonts w:ascii="Cambria" w:hAnsi="Cambria"/>
          <w:color w:val="000000"/>
          <w:sz w:val="20"/>
        </w:rPr>
        <w:t>e</w:t>
      </w:r>
      <w:r w:rsidRPr="00D4130A">
        <w:rPr>
          <w:rFonts w:ascii="Cambria" w:hAnsi="Cambria"/>
          <w:color w:val="000000"/>
          <w:sz w:val="20"/>
        </w:rPr>
        <w:t xml:space="preserve"> same instrument.</w:t>
      </w:r>
    </w:p>
    <w:p w14:paraId="318E0E20" w14:textId="53D87274"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On August 6, 2020, the Minister of Justice and Human Rights of the Nation instructed the areas involved in the processing of applications for the benefit </w:t>
      </w:r>
      <w:r w:rsidR="000F41FD" w:rsidRPr="00D4130A">
        <w:rPr>
          <w:rFonts w:ascii="Cambria" w:hAnsi="Cambria"/>
          <w:color w:val="000000"/>
          <w:sz w:val="20"/>
        </w:rPr>
        <w:t>established by</w:t>
      </w:r>
      <w:r w:rsidRPr="00D4130A">
        <w:rPr>
          <w:rFonts w:ascii="Cambria" w:hAnsi="Cambria"/>
          <w:color w:val="000000"/>
          <w:sz w:val="20"/>
        </w:rPr>
        <w:t xml:space="preserve"> Law </w:t>
      </w:r>
      <w:r w:rsidR="000F41FD" w:rsidRPr="00D4130A">
        <w:rPr>
          <w:rFonts w:ascii="Cambria" w:hAnsi="Cambria"/>
          <w:color w:val="000000"/>
          <w:sz w:val="20"/>
        </w:rPr>
        <w:t xml:space="preserve">nº </w:t>
      </w:r>
      <w:r w:rsidRPr="00D4130A">
        <w:rPr>
          <w:rFonts w:ascii="Cambria" w:hAnsi="Cambria"/>
          <w:color w:val="000000"/>
          <w:sz w:val="20"/>
        </w:rPr>
        <w:t>24.043 to apply the new doctrine</w:t>
      </w:r>
      <w:r w:rsidR="000F41FD" w:rsidRPr="00D4130A">
        <w:rPr>
          <w:rFonts w:ascii="Cambria" w:hAnsi="Cambria"/>
          <w:color w:val="000000"/>
          <w:sz w:val="20"/>
        </w:rPr>
        <w:t xml:space="preserve"> set forth </w:t>
      </w:r>
      <w:r w:rsidRPr="00D4130A">
        <w:rPr>
          <w:rFonts w:ascii="Cambria" w:hAnsi="Cambria"/>
          <w:color w:val="000000"/>
          <w:sz w:val="20"/>
        </w:rPr>
        <w:t xml:space="preserve">by the Office of the Treasury Prosecutor of the Nation in Opinion No. IF-2020-36200344-APN-PTN. </w:t>
      </w:r>
      <w:r w:rsidR="000F41FD" w:rsidRPr="00D4130A">
        <w:rPr>
          <w:rFonts w:ascii="Cambria" w:hAnsi="Cambria"/>
          <w:color w:val="000000"/>
          <w:sz w:val="20"/>
        </w:rPr>
        <w:t>Consequently</w:t>
      </w:r>
      <w:r w:rsidRPr="00D4130A">
        <w:rPr>
          <w:rFonts w:ascii="Cambria" w:hAnsi="Cambria"/>
          <w:color w:val="000000"/>
          <w:sz w:val="20"/>
        </w:rPr>
        <w:t>, the National Directorate of International Legal Affairs in Human Rights Matters of the National Secretariat of Human Rights consulted the Directorate of Management of Reparat</w:t>
      </w:r>
      <w:r w:rsidR="000F41FD" w:rsidRPr="00D4130A">
        <w:rPr>
          <w:rFonts w:ascii="Cambria" w:hAnsi="Cambria"/>
          <w:color w:val="000000"/>
          <w:sz w:val="20"/>
        </w:rPr>
        <w:t>ory</w:t>
      </w:r>
      <w:r w:rsidRPr="00D4130A">
        <w:rPr>
          <w:rFonts w:ascii="Cambria" w:hAnsi="Cambria"/>
          <w:color w:val="000000"/>
          <w:sz w:val="20"/>
        </w:rPr>
        <w:t xml:space="preserve"> Policies to determine whether the criteria currently in </w:t>
      </w:r>
      <w:r w:rsidR="000F41FD" w:rsidRPr="00D4130A">
        <w:rPr>
          <w:rFonts w:ascii="Cambria" w:hAnsi="Cambria"/>
          <w:color w:val="000000"/>
          <w:sz w:val="20"/>
        </w:rPr>
        <w:t xml:space="preserve">effect </w:t>
      </w:r>
      <w:r w:rsidRPr="00D4130A">
        <w:rPr>
          <w:rFonts w:ascii="Cambria" w:hAnsi="Cambria"/>
          <w:color w:val="000000"/>
          <w:sz w:val="20"/>
        </w:rPr>
        <w:t>would allow the petitioner's claim to be recognized as a situation of exile.</w:t>
      </w:r>
    </w:p>
    <w:p w14:paraId="31C0B300" w14:textId="77777777"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Following its affirmative response, a dialogue was initiated with the petitioner in which the request for reparation was limited to the expeditious granting of the benefit duly requested, without any other claim for reparation of an economic nature, or reparation of any other kind.</w:t>
      </w:r>
    </w:p>
    <w:p w14:paraId="489FC484" w14:textId="26A5459F"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The State considers that Mr. Diego Pablo Paredes was a victim of political persecution by the civil-military dictatorship that devastated the Argentine Republic between March 24, </w:t>
      </w:r>
      <w:r w:rsidR="00D4130A" w:rsidRPr="00D4130A">
        <w:rPr>
          <w:rFonts w:ascii="Cambria" w:hAnsi="Cambria"/>
          <w:color w:val="000000"/>
          <w:sz w:val="20"/>
        </w:rPr>
        <w:t>1976,</w:t>
      </w:r>
      <w:r w:rsidRPr="00D4130A">
        <w:rPr>
          <w:rFonts w:ascii="Cambria" w:hAnsi="Cambria"/>
          <w:color w:val="000000"/>
          <w:sz w:val="20"/>
        </w:rPr>
        <w:t xml:space="preserve"> and December 10, 1983. </w:t>
      </w:r>
      <w:r w:rsidR="000F41FD" w:rsidRPr="00D4130A">
        <w:rPr>
          <w:rFonts w:ascii="Cambria" w:hAnsi="Cambria"/>
          <w:color w:val="000000"/>
          <w:sz w:val="20"/>
        </w:rPr>
        <w:t>Bearing this in mind</w:t>
      </w:r>
      <w:r w:rsidRPr="00D4130A">
        <w:rPr>
          <w:rFonts w:ascii="Cambria" w:hAnsi="Cambria"/>
          <w:color w:val="000000"/>
          <w:sz w:val="20"/>
        </w:rPr>
        <w:t>, in line with Opinion IF-2022-08499600-APN-SSPYEIDH#MJ of the National Secretariat of Human Rights and in compliance with its international human rights obligations, the Argentine State understands that the petitioner has the right to be adequately compensated for the violations suffered.</w:t>
      </w:r>
    </w:p>
    <w:p w14:paraId="3442DAAA" w14:textId="77777777" w:rsidR="00680F0F" w:rsidRPr="00D4130A" w:rsidRDefault="00680F0F" w:rsidP="001E4CF2">
      <w:pPr>
        <w:pStyle w:val="NormalWeb"/>
        <w:spacing w:before="0" w:beforeAutospacing="0" w:after="120" w:afterAutospacing="0"/>
        <w:ind w:left="734" w:right="360" w:firstLine="720"/>
        <w:jc w:val="both"/>
        <w:rPr>
          <w:rFonts w:ascii="Cambria" w:hAnsi="Cambria"/>
          <w:b/>
          <w:bCs/>
          <w:color w:val="000000"/>
          <w:sz w:val="20"/>
          <w:szCs w:val="20"/>
        </w:rPr>
      </w:pPr>
      <w:r w:rsidRPr="00D4130A">
        <w:rPr>
          <w:rFonts w:ascii="Cambria" w:hAnsi="Cambria"/>
          <w:b/>
          <w:color w:val="000000"/>
          <w:sz w:val="20"/>
        </w:rPr>
        <w:t xml:space="preserve">II. Measures to be </w:t>
      </w:r>
      <w:proofErr w:type="gramStart"/>
      <w:r w:rsidRPr="00D4130A">
        <w:rPr>
          <w:rFonts w:ascii="Cambria" w:hAnsi="Cambria"/>
          <w:b/>
          <w:color w:val="000000"/>
          <w:sz w:val="20"/>
        </w:rPr>
        <w:t>adopted</w:t>
      </w:r>
      <w:proofErr w:type="gramEnd"/>
    </w:p>
    <w:p w14:paraId="03CB7604" w14:textId="26AFA20F"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1. The parties agree that pecuniary reparation will be granted in accordance with </w:t>
      </w:r>
      <w:r w:rsidR="00E74A25" w:rsidRPr="00D4130A">
        <w:rPr>
          <w:rFonts w:ascii="Cambria" w:hAnsi="Cambria"/>
          <w:color w:val="000000"/>
          <w:sz w:val="20"/>
        </w:rPr>
        <w:t xml:space="preserve">the framework provided by </w:t>
      </w:r>
      <w:r w:rsidRPr="00D4130A">
        <w:rPr>
          <w:rFonts w:ascii="Cambria" w:hAnsi="Cambria"/>
          <w:color w:val="000000"/>
          <w:sz w:val="20"/>
        </w:rPr>
        <w:t>Law</w:t>
      </w:r>
      <w:r w:rsidR="00E74A25" w:rsidRPr="00D4130A">
        <w:rPr>
          <w:rFonts w:ascii="Cambria" w:hAnsi="Cambria"/>
          <w:color w:val="000000"/>
          <w:sz w:val="20"/>
        </w:rPr>
        <w:t xml:space="preserve"> nº</w:t>
      </w:r>
      <w:r w:rsidRPr="00D4130A">
        <w:rPr>
          <w:rFonts w:ascii="Cambria" w:hAnsi="Cambria"/>
          <w:color w:val="000000"/>
          <w:sz w:val="20"/>
        </w:rPr>
        <w:t xml:space="preserve"> 24.043, considering for this purpose the entire </w:t>
      </w:r>
      <w:r w:rsidR="00E74A25" w:rsidRPr="00D4130A">
        <w:rPr>
          <w:rFonts w:ascii="Cambria" w:hAnsi="Cambria"/>
          <w:color w:val="000000"/>
          <w:sz w:val="20"/>
        </w:rPr>
        <w:t xml:space="preserve">length of time </w:t>
      </w:r>
      <w:r w:rsidRPr="00D4130A">
        <w:rPr>
          <w:rFonts w:ascii="Cambria" w:hAnsi="Cambria"/>
          <w:color w:val="000000"/>
          <w:sz w:val="20"/>
        </w:rPr>
        <w:t xml:space="preserve">during which Mr. </w:t>
      </w:r>
      <w:r w:rsidR="00E74A25" w:rsidRPr="00D4130A">
        <w:rPr>
          <w:rFonts w:ascii="Cambria" w:hAnsi="Cambria"/>
          <w:color w:val="000000"/>
          <w:sz w:val="20"/>
        </w:rPr>
        <w:t xml:space="preserve">Diego </w:t>
      </w:r>
      <w:r w:rsidRPr="00D4130A">
        <w:rPr>
          <w:rFonts w:ascii="Cambria" w:hAnsi="Cambria"/>
          <w:color w:val="000000"/>
          <w:sz w:val="20"/>
        </w:rPr>
        <w:t xml:space="preserve">Pablo </w:t>
      </w:r>
      <w:r w:rsidR="00E74A25" w:rsidRPr="00D4130A">
        <w:rPr>
          <w:rFonts w:ascii="Cambria" w:hAnsi="Cambria"/>
          <w:color w:val="000000"/>
          <w:sz w:val="20"/>
        </w:rPr>
        <w:t xml:space="preserve">Paredes </w:t>
      </w:r>
      <w:r w:rsidRPr="00D4130A">
        <w:rPr>
          <w:rFonts w:ascii="Cambria" w:hAnsi="Cambria"/>
          <w:color w:val="000000"/>
          <w:sz w:val="20"/>
        </w:rPr>
        <w:t xml:space="preserve">remained in forced exile, according to opinion IF-2022-08499600-APN-SSPYEIDH#MJ. That is, from December 4, </w:t>
      </w:r>
      <w:proofErr w:type="gramStart"/>
      <w:r w:rsidRPr="00D4130A">
        <w:rPr>
          <w:rFonts w:ascii="Cambria" w:hAnsi="Cambria"/>
          <w:color w:val="000000"/>
          <w:sz w:val="20"/>
        </w:rPr>
        <w:t>1978</w:t>
      </w:r>
      <w:proofErr w:type="gramEnd"/>
      <w:r w:rsidRPr="00D4130A">
        <w:rPr>
          <w:rFonts w:ascii="Cambria" w:hAnsi="Cambria"/>
          <w:color w:val="000000"/>
          <w:sz w:val="20"/>
        </w:rPr>
        <w:t xml:space="preserve"> to October 28, 1983.</w:t>
      </w:r>
    </w:p>
    <w:p w14:paraId="2F7B2B28" w14:textId="29084EA7"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2. The Argentine State undertakes that, within three (3) months as of the publication in the Official Gazette of the Argentine Republic of the Decree of the National Executive Branch approving this agreement, it will issue the ministerial resolution granting the reparation benefit provided </w:t>
      </w:r>
      <w:r w:rsidR="00E74A25" w:rsidRPr="00D4130A">
        <w:rPr>
          <w:rFonts w:ascii="Cambria" w:hAnsi="Cambria"/>
          <w:color w:val="000000"/>
          <w:sz w:val="20"/>
        </w:rPr>
        <w:t xml:space="preserve">established by </w:t>
      </w:r>
      <w:r w:rsidRPr="00D4130A">
        <w:rPr>
          <w:rFonts w:ascii="Cambria" w:hAnsi="Cambria"/>
          <w:color w:val="000000"/>
          <w:sz w:val="20"/>
        </w:rPr>
        <w:t xml:space="preserve">Law </w:t>
      </w:r>
      <w:r w:rsidR="00E74A25" w:rsidRPr="00D4130A">
        <w:rPr>
          <w:rFonts w:ascii="Cambria" w:hAnsi="Cambria"/>
          <w:color w:val="000000"/>
          <w:sz w:val="20"/>
        </w:rPr>
        <w:t>nº</w:t>
      </w:r>
      <w:r w:rsidRPr="00D4130A">
        <w:rPr>
          <w:rFonts w:ascii="Cambria" w:hAnsi="Cambria"/>
          <w:color w:val="000000"/>
          <w:sz w:val="20"/>
        </w:rPr>
        <w:t xml:space="preserve"> 24.043, without additional costs or expenses. The amount of the reparation will be calculated as of the date of the issuance of the </w:t>
      </w:r>
      <w:proofErr w:type="gramStart"/>
      <w:r w:rsidRPr="00D4130A">
        <w:rPr>
          <w:rFonts w:ascii="Cambria" w:hAnsi="Cambria"/>
          <w:color w:val="000000"/>
          <w:sz w:val="20"/>
        </w:rPr>
        <w:t>aforementioned ministerial</w:t>
      </w:r>
      <w:proofErr w:type="gramEnd"/>
      <w:r w:rsidRPr="00D4130A">
        <w:rPr>
          <w:rFonts w:ascii="Cambria" w:hAnsi="Cambria"/>
          <w:color w:val="000000"/>
          <w:sz w:val="20"/>
        </w:rPr>
        <w:t xml:space="preserve"> resolution.</w:t>
      </w:r>
    </w:p>
    <w:p w14:paraId="23335DBF" w14:textId="130A9EB4"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lastRenderedPageBreak/>
        <w:t xml:space="preserve">3. The State also undertakes to comply with the </w:t>
      </w:r>
      <w:r w:rsidR="00E74A25" w:rsidRPr="00D4130A">
        <w:rPr>
          <w:rFonts w:ascii="Cambria" w:hAnsi="Cambria"/>
          <w:color w:val="000000"/>
          <w:sz w:val="20"/>
        </w:rPr>
        <w:t xml:space="preserve">term </w:t>
      </w:r>
      <w:r w:rsidRPr="00D4130A">
        <w:rPr>
          <w:rFonts w:ascii="Cambria" w:hAnsi="Cambria"/>
          <w:color w:val="000000"/>
          <w:sz w:val="20"/>
        </w:rPr>
        <w:t xml:space="preserve">established in Article 30 of the </w:t>
      </w:r>
      <w:r w:rsidR="00E74A25" w:rsidRPr="00D4130A">
        <w:rPr>
          <w:rFonts w:ascii="Cambria" w:hAnsi="Cambria"/>
          <w:color w:val="000000"/>
          <w:sz w:val="20"/>
        </w:rPr>
        <w:t xml:space="preserve">rules of </w:t>
      </w:r>
      <w:r w:rsidRPr="00D4130A">
        <w:rPr>
          <w:rFonts w:ascii="Cambria" w:hAnsi="Cambria"/>
          <w:color w:val="000000"/>
          <w:sz w:val="20"/>
        </w:rPr>
        <w:t xml:space="preserve">Chapter V of Law </w:t>
      </w:r>
      <w:r w:rsidR="00E74A25" w:rsidRPr="00D4130A">
        <w:rPr>
          <w:rFonts w:ascii="Cambria" w:hAnsi="Cambria"/>
          <w:color w:val="000000"/>
          <w:sz w:val="20"/>
        </w:rPr>
        <w:t>nº</w:t>
      </w:r>
      <w:r w:rsidR="00E74A25" w:rsidRPr="00D4130A" w:rsidDel="00E74A25">
        <w:rPr>
          <w:rFonts w:ascii="Cambria" w:hAnsi="Cambria"/>
          <w:color w:val="000000"/>
          <w:sz w:val="20"/>
        </w:rPr>
        <w:t xml:space="preserve"> </w:t>
      </w:r>
      <w:r w:rsidRPr="00D4130A">
        <w:rPr>
          <w:rFonts w:ascii="Cambria" w:hAnsi="Cambria"/>
          <w:color w:val="000000"/>
          <w:sz w:val="20"/>
        </w:rPr>
        <w:t xml:space="preserve">25.344, </w:t>
      </w:r>
      <w:r w:rsidR="00E74A25" w:rsidRPr="00D4130A">
        <w:rPr>
          <w:rFonts w:ascii="Cambria" w:hAnsi="Cambria"/>
          <w:color w:val="000000"/>
          <w:sz w:val="20"/>
        </w:rPr>
        <w:t xml:space="preserve">as set forth </w:t>
      </w:r>
      <w:r w:rsidRPr="00D4130A">
        <w:rPr>
          <w:rFonts w:ascii="Cambria" w:hAnsi="Cambria"/>
          <w:color w:val="000000"/>
          <w:sz w:val="20"/>
        </w:rPr>
        <w:t>in Executive Decree No. 1116/2000.</w:t>
      </w:r>
    </w:p>
    <w:p w14:paraId="04A0356B" w14:textId="32399997"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4. Once the </w:t>
      </w:r>
      <w:r w:rsidR="00E74A25" w:rsidRPr="00D4130A">
        <w:rPr>
          <w:rFonts w:ascii="Cambria" w:hAnsi="Cambria"/>
          <w:color w:val="000000"/>
          <w:sz w:val="20"/>
        </w:rPr>
        <w:t xml:space="preserve">petitioner </w:t>
      </w:r>
      <w:r w:rsidRPr="00D4130A">
        <w:rPr>
          <w:rFonts w:ascii="Cambria" w:hAnsi="Cambria"/>
          <w:color w:val="000000"/>
          <w:sz w:val="20"/>
        </w:rPr>
        <w:t xml:space="preserve">submits to the National Administration of Social Security </w:t>
      </w:r>
      <w:r w:rsidR="00330B8C">
        <w:rPr>
          <w:rFonts w:ascii="Cambria" w:hAnsi="Cambria"/>
          <w:color w:val="000000"/>
          <w:sz w:val="20"/>
        </w:rPr>
        <w:t>[</w:t>
      </w:r>
      <w:r w:rsidRPr="00D4130A">
        <w:rPr>
          <w:rFonts w:ascii="Cambria" w:hAnsi="Cambria"/>
          <w:color w:val="000000"/>
          <w:sz w:val="20"/>
        </w:rPr>
        <w:t>ANSES</w:t>
      </w:r>
      <w:r w:rsidR="00330B8C">
        <w:rPr>
          <w:rFonts w:ascii="Cambria" w:hAnsi="Cambria"/>
          <w:color w:val="000000"/>
          <w:sz w:val="20"/>
        </w:rPr>
        <w:t xml:space="preserve"> </w:t>
      </w:r>
      <w:r w:rsidR="00330B8C" w:rsidRPr="00330B8C">
        <w:rPr>
          <w:rFonts w:ascii="Cambria" w:hAnsi="Cambria"/>
          <w:i/>
          <w:iCs/>
          <w:color w:val="000000"/>
          <w:sz w:val="20"/>
        </w:rPr>
        <w:t>in Spanish</w:t>
      </w:r>
      <w:r w:rsidR="00330B8C">
        <w:rPr>
          <w:rFonts w:ascii="Cambria" w:hAnsi="Cambria"/>
          <w:color w:val="000000"/>
          <w:sz w:val="20"/>
        </w:rPr>
        <w:t>]</w:t>
      </w:r>
      <w:r w:rsidRPr="00D4130A">
        <w:rPr>
          <w:rFonts w:ascii="Cambria" w:hAnsi="Cambria"/>
          <w:color w:val="000000"/>
          <w:sz w:val="20"/>
        </w:rPr>
        <w:t xml:space="preserve"> a true copy of the alleged victim’s national identity document and the correctly completed form (PS.6.298) requesting the benefit </w:t>
      </w:r>
      <w:r w:rsidR="007947BC" w:rsidRPr="00D4130A">
        <w:rPr>
          <w:rFonts w:ascii="Cambria" w:hAnsi="Cambria"/>
          <w:color w:val="000000"/>
          <w:sz w:val="20"/>
        </w:rPr>
        <w:t xml:space="preserve">established </w:t>
      </w:r>
      <w:r w:rsidRPr="00D4130A">
        <w:rPr>
          <w:rFonts w:ascii="Cambria" w:hAnsi="Cambria"/>
          <w:color w:val="000000"/>
          <w:sz w:val="20"/>
        </w:rPr>
        <w:t xml:space="preserve">in Law </w:t>
      </w:r>
      <w:r w:rsidR="007947BC" w:rsidRPr="00D4130A">
        <w:rPr>
          <w:rFonts w:ascii="Cambria" w:hAnsi="Cambria"/>
          <w:color w:val="000000"/>
          <w:sz w:val="20"/>
        </w:rPr>
        <w:t>nº</w:t>
      </w:r>
      <w:r w:rsidR="007947BC" w:rsidRPr="00D4130A" w:rsidDel="007947BC">
        <w:rPr>
          <w:rFonts w:ascii="Cambria" w:hAnsi="Cambria"/>
          <w:color w:val="000000"/>
          <w:sz w:val="20"/>
        </w:rPr>
        <w:t xml:space="preserve"> </w:t>
      </w:r>
      <w:r w:rsidRPr="00D4130A">
        <w:rPr>
          <w:rFonts w:ascii="Cambria" w:hAnsi="Cambria"/>
          <w:color w:val="000000"/>
          <w:sz w:val="20"/>
        </w:rPr>
        <w:t xml:space="preserve">26.913, </w:t>
      </w:r>
      <w:r w:rsidR="007947BC" w:rsidRPr="00D4130A">
        <w:rPr>
          <w:rFonts w:ascii="Cambria" w:hAnsi="Cambria"/>
          <w:color w:val="000000"/>
          <w:sz w:val="20"/>
        </w:rPr>
        <w:t xml:space="preserve">as well as </w:t>
      </w:r>
      <w:r w:rsidRPr="00D4130A">
        <w:rPr>
          <w:rFonts w:ascii="Cambria" w:hAnsi="Cambria"/>
          <w:color w:val="000000"/>
          <w:sz w:val="20"/>
        </w:rPr>
        <w:t xml:space="preserve">signs the affidavit attached as an annex, the Argentine State </w:t>
      </w:r>
      <w:r w:rsidR="007947BC" w:rsidRPr="00D4130A">
        <w:rPr>
          <w:rFonts w:ascii="Cambria" w:hAnsi="Cambria"/>
          <w:color w:val="000000"/>
          <w:sz w:val="20"/>
        </w:rPr>
        <w:t xml:space="preserve">commits </w:t>
      </w:r>
      <w:r w:rsidRPr="00D4130A">
        <w:rPr>
          <w:rFonts w:ascii="Cambria" w:hAnsi="Cambria"/>
          <w:color w:val="000000"/>
          <w:sz w:val="20"/>
        </w:rPr>
        <w:t>to issue the corresponding resolution within three (3) months.</w:t>
      </w:r>
    </w:p>
    <w:p w14:paraId="112DF2DC" w14:textId="0CB453C4" w:rsidR="00680F0F" w:rsidRPr="00D4130A" w:rsidRDefault="00680F0F" w:rsidP="001E4CF2">
      <w:pPr>
        <w:pStyle w:val="NormalWeb"/>
        <w:spacing w:before="0" w:beforeAutospacing="0" w:after="120" w:afterAutospacing="0"/>
        <w:ind w:left="734" w:right="360"/>
        <w:jc w:val="both"/>
        <w:rPr>
          <w:rFonts w:ascii="Cambria" w:hAnsi="Cambria"/>
          <w:color w:val="000000"/>
          <w:sz w:val="20"/>
          <w:szCs w:val="20"/>
        </w:rPr>
      </w:pPr>
      <w:r w:rsidRPr="00D4130A">
        <w:rPr>
          <w:rFonts w:ascii="Cambria" w:hAnsi="Cambria"/>
          <w:color w:val="000000"/>
          <w:sz w:val="20"/>
        </w:rPr>
        <w:t xml:space="preserve">5. Upon payment of the reparation </w:t>
      </w:r>
      <w:r w:rsidR="007947BC" w:rsidRPr="00D4130A">
        <w:rPr>
          <w:rFonts w:ascii="Cambria" w:hAnsi="Cambria"/>
          <w:color w:val="000000"/>
          <w:sz w:val="20"/>
        </w:rPr>
        <w:t xml:space="preserve">established </w:t>
      </w:r>
      <w:r w:rsidRPr="00D4130A">
        <w:rPr>
          <w:rFonts w:ascii="Cambria" w:hAnsi="Cambria"/>
          <w:color w:val="000000"/>
          <w:sz w:val="20"/>
        </w:rPr>
        <w:t>in section II.2 of this agreement, the petition</w:t>
      </w:r>
      <w:r w:rsidR="007947BC" w:rsidRPr="00D4130A">
        <w:rPr>
          <w:rFonts w:ascii="Cambria" w:hAnsi="Cambria"/>
          <w:color w:val="000000"/>
          <w:sz w:val="20"/>
        </w:rPr>
        <w:t>er</w:t>
      </w:r>
      <w:r w:rsidRPr="00D4130A">
        <w:rPr>
          <w:rFonts w:ascii="Cambria" w:hAnsi="Cambria"/>
          <w:color w:val="000000"/>
          <w:sz w:val="20"/>
        </w:rPr>
        <w:t xml:space="preserve"> definitively and irrevocably waives the right to initiate any other pecuniary claim against the State in</w:t>
      </w:r>
      <w:r w:rsidR="007947BC" w:rsidRPr="00D4130A">
        <w:rPr>
          <w:rFonts w:ascii="Cambria" w:hAnsi="Cambria"/>
          <w:color w:val="000000"/>
          <w:sz w:val="20"/>
        </w:rPr>
        <w:t xml:space="preserve"> connection </w:t>
      </w:r>
      <w:r w:rsidRPr="00D4130A">
        <w:rPr>
          <w:rFonts w:ascii="Cambria" w:hAnsi="Cambria"/>
          <w:color w:val="000000"/>
          <w:sz w:val="20"/>
        </w:rPr>
        <w:t>to the facts that gave rise to the instant case.</w:t>
      </w:r>
    </w:p>
    <w:p w14:paraId="2ACAA31C" w14:textId="77777777" w:rsidR="00680F0F" w:rsidRPr="00330B8C" w:rsidRDefault="00680F0F" w:rsidP="001E4CF2">
      <w:pPr>
        <w:pStyle w:val="NormalWeb"/>
        <w:spacing w:before="0" w:beforeAutospacing="0" w:after="120" w:afterAutospacing="0"/>
        <w:ind w:left="734" w:right="360" w:firstLine="720"/>
        <w:jc w:val="both"/>
        <w:rPr>
          <w:rFonts w:ascii="Cambria" w:hAnsi="Cambria"/>
          <w:b/>
          <w:bCs/>
          <w:color w:val="000000"/>
          <w:sz w:val="20"/>
          <w:szCs w:val="20"/>
        </w:rPr>
      </w:pPr>
      <w:r w:rsidRPr="00330B8C">
        <w:rPr>
          <w:rFonts w:ascii="Cambria" w:hAnsi="Cambria"/>
          <w:b/>
          <w:color w:val="000000"/>
          <w:sz w:val="20"/>
        </w:rPr>
        <w:t xml:space="preserve">III. Signature </w:t>
      </w:r>
      <w:r w:rsidRPr="00330B8C">
        <w:rPr>
          <w:rFonts w:ascii="Cambria" w:hAnsi="Cambria"/>
          <w:b/>
          <w:i/>
          <w:color w:val="000000"/>
          <w:sz w:val="20"/>
        </w:rPr>
        <w:t>ad referendum</w:t>
      </w:r>
    </w:p>
    <w:p w14:paraId="3AE0440F" w14:textId="77777777" w:rsidR="00680F0F" w:rsidRPr="00330B8C" w:rsidRDefault="00680F0F" w:rsidP="001E4CF2">
      <w:pPr>
        <w:pStyle w:val="NormalWeb"/>
        <w:spacing w:before="0" w:beforeAutospacing="0" w:after="120" w:afterAutospacing="0"/>
        <w:ind w:left="734" w:right="360"/>
        <w:jc w:val="both"/>
        <w:rPr>
          <w:rFonts w:ascii="Cambria" w:hAnsi="Cambria"/>
          <w:color w:val="000000"/>
          <w:sz w:val="20"/>
          <w:szCs w:val="20"/>
        </w:rPr>
      </w:pPr>
      <w:r w:rsidRPr="00330B8C">
        <w:rPr>
          <w:rFonts w:ascii="Cambria" w:hAnsi="Cambria"/>
          <w:color w:val="000000"/>
          <w:sz w:val="20"/>
        </w:rPr>
        <w:t>The parties state that this agreement shall be approved by a Decree of the National Executive Branch.</w:t>
      </w:r>
    </w:p>
    <w:p w14:paraId="489FD9F3" w14:textId="7CFE45F7" w:rsidR="00680F0F" w:rsidRPr="00330B8C" w:rsidRDefault="00680F0F" w:rsidP="001E4CF2">
      <w:pPr>
        <w:pStyle w:val="NormalWeb"/>
        <w:spacing w:before="0" w:beforeAutospacing="0" w:after="120" w:afterAutospacing="0"/>
        <w:ind w:left="734" w:right="360"/>
        <w:jc w:val="both"/>
        <w:rPr>
          <w:rFonts w:ascii="Cambria" w:hAnsi="Cambria"/>
          <w:color w:val="000000"/>
          <w:sz w:val="20"/>
          <w:szCs w:val="20"/>
        </w:rPr>
      </w:pPr>
      <w:r w:rsidRPr="00330B8C">
        <w:rPr>
          <w:rFonts w:ascii="Cambria" w:hAnsi="Cambria"/>
          <w:color w:val="000000"/>
          <w:sz w:val="20"/>
        </w:rPr>
        <w:t xml:space="preserve">The Government of the Argentine Republic and the petitioning party welcome the signing of this agreement, express their full </w:t>
      </w:r>
      <w:r w:rsidR="007947BC" w:rsidRPr="00330B8C">
        <w:rPr>
          <w:rFonts w:ascii="Cambria" w:hAnsi="Cambria"/>
          <w:color w:val="000000"/>
          <w:sz w:val="20"/>
        </w:rPr>
        <w:t xml:space="preserve">conformity </w:t>
      </w:r>
      <w:r w:rsidRPr="00330B8C">
        <w:rPr>
          <w:rFonts w:ascii="Cambria" w:hAnsi="Cambria"/>
          <w:color w:val="000000"/>
          <w:sz w:val="20"/>
        </w:rPr>
        <w:t>with its content and scope, mutually appreciate the goodwill shown, and agree that</w:t>
      </w:r>
      <w:r w:rsidR="007947BC" w:rsidRPr="00330B8C">
        <w:rPr>
          <w:rFonts w:ascii="Cambria" w:hAnsi="Cambria"/>
          <w:color w:val="000000"/>
          <w:sz w:val="20"/>
        </w:rPr>
        <w:t>,</w:t>
      </w:r>
      <w:r w:rsidRPr="00330B8C">
        <w:rPr>
          <w:rFonts w:ascii="Cambria" w:hAnsi="Cambria"/>
          <w:color w:val="000000"/>
          <w:sz w:val="20"/>
        </w:rPr>
        <w:t xml:space="preserve">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point the agreement will acquire full legal force.</w:t>
      </w:r>
    </w:p>
    <w:p w14:paraId="37792BB3" w14:textId="77777777" w:rsidR="00680F0F" w:rsidRDefault="00680F0F" w:rsidP="001E4CF2">
      <w:pPr>
        <w:pStyle w:val="NormalWeb"/>
        <w:spacing w:before="0" w:beforeAutospacing="0" w:after="0" w:afterAutospacing="0"/>
        <w:ind w:left="734" w:right="360"/>
        <w:jc w:val="both"/>
        <w:rPr>
          <w:rFonts w:ascii="Cambria" w:hAnsi="Cambria"/>
          <w:color w:val="000000"/>
          <w:sz w:val="20"/>
          <w:szCs w:val="20"/>
        </w:rPr>
      </w:pPr>
      <w:r w:rsidRPr="00330B8C">
        <w:rPr>
          <w:rFonts w:ascii="Cambria" w:hAnsi="Cambria"/>
          <w:color w:val="000000"/>
          <w:sz w:val="20"/>
        </w:rPr>
        <w:t>Three identical copies were signed in the Autonomous City of Buenos Aires, on February 23, 2022.</w:t>
      </w:r>
    </w:p>
    <w:p w14:paraId="0D6FB8C1" w14:textId="77777777" w:rsidR="00DA37B6" w:rsidRPr="00F868D0" w:rsidRDefault="00DA37B6" w:rsidP="00680F0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20F7E30" w14:textId="77777777" w:rsidR="002A65AC" w:rsidRPr="002A65AC"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Pr>
          <w:b/>
          <w:color w:val="000000" w:themeColor="text1"/>
          <w:sz w:val="20"/>
        </w:rPr>
        <w:t xml:space="preserve">DETERMINATION OF COMPATIBILITY AND COMPLIANCE </w:t>
      </w:r>
    </w:p>
    <w:p w14:paraId="7768A225" w14:textId="77777777"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00AACE0F" w14:textId="72C24CC4" w:rsidR="00680F0F" w:rsidRPr="00680F0F" w:rsidRDefault="00680F0F" w:rsidP="00680F0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ind w:left="0" w:firstLine="720"/>
        <w:jc w:val="both"/>
        <w:rPr>
          <w:rFonts w:asciiTheme="majorHAnsi" w:eastAsia="MS Mincho" w:hAnsiTheme="majorHAnsi"/>
          <w:sz w:val="20"/>
          <w:szCs w:val="20"/>
        </w:rPr>
      </w:pPr>
      <w:r>
        <w:rPr>
          <w:rFonts w:asciiTheme="majorHAnsi" w:hAnsiTheme="majorHAnsi"/>
          <w:sz w:val="20"/>
          <w:bdr w:val="none" w:sz="0" w:space="0" w:color="auto" w:frame="1"/>
        </w:rPr>
        <w:t>The IACHR reiterates that</w:t>
      </w:r>
      <w:r w:rsidR="00973ABF">
        <w:rPr>
          <w:rFonts w:asciiTheme="majorHAnsi" w:hAnsiTheme="majorHAnsi"/>
          <w:sz w:val="20"/>
          <w:bdr w:val="none" w:sz="0" w:space="0" w:color="auto" w:frame="1"/>
        </w:rPr>
        <w:t>,</w:t>
      </w:r>
      <w:r>
        <w:rPr>
          <w:rFonts w:asciiTheme="majorHAnsi" w:hAnsiTheme="majorHAnsi"/>
          <w:sz w:val="20"/>
          <w:bdr w:val="none" w:sz="0" w:space="0" w:color="auto" w:frame="1"/>
        </w:rPr>
        <w:t xml:space="preserve">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Pr>
          <w:rFonts w:asciiTheme="majorHAnsi" w:hAnsiTheme="majorHAnsi"/>
          <w:i/>
          <w:sz w:val="20"/>
          <w:bdr w:val="none" w:sz="0" w:space="0" w:color="auto" w:frame="1"/>
        </w:rPr>
        <w:t xml:space="preserve">pacta sunt </w:t>
      </w:r>
      <w:proofErr w:type="spellStart"/>
      <w:r>
        <w:rPr>
          <w:rFonts w:asciiTheme="majorHAnsi" w:hAnsiTheme="majorHAnsi"/>
          <w:i/>
          <w:sz w:val="20"/>
          <w:bdr w:val="none" w:sz="0" w:space="0" w:color="auto" w:frame="1"/>
        </w:rPr>
        <w:t>servanda</w:t>
      </w:r>
      <w:proofErr w:type="spellEnd"/>
      <w:r>
        <w:rPr>
          <w:rFonts w:asciiTheme="majorHAnsi" w:hAnsiTheme="majorHAnsi"/>
          <w:sz w:val="20"/>
          <w:bdr w:val="none" w:sz="0" w:space="0" w:color="auto" w:frame="1"/>
        </w:rPr>
        <w:t>, by which States must comply with the obligations assumed in the treaties in good faith.</w:t>
      </w:r>
      <w:r w:rsidRPr="00480C88">
        <w:rPr>
          <w:sz w:val="20"/>
          <w:szCs w:val="20"/>
          <w:bdr w:val="none" w:sz="0" w:space="0" w:color="auto" w:frame="1"/>
          <w:vertAlign w:val="superscript"/>
          <w:lang w:val="en"/>
        </w:rPr>
        <w:footnoteReference w:id="3"/>
      </w:r>
      <w:r w:rsidRPr="00E74A25">
        <w:rPr>
          <w:rFonts w:asciiTheme="majorHAnsi" w:hAnsiTheme="majorHAnsi"/>
          <w:sz w:val="20"/>
          <w:szCs w:val="20"/>
          <w:bdr w:val="none" w:sz="0" w:space="0" w:color="auto" w:frame="1"/>
        </w:rPr>
        <w:t xml:space="preserve"> It </w:t>
      </w:r>
      <w:r>
        <w:rPr>
          <w:rFonts w:asciiTheme="majorHAnsi" w:hAnsiTheme="majorHAnsi"/>
          <w:sz w:val="20"/>
          <w:bdr w:val="none" w:sz="0" w:space="0" w:color="auto" w:frame="1"/>
        </w:rPr>
        <w:t>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1517C5F6" w14:textId="77777777" w:rsidR="00680F0F" w:rsidRPr="00DD5436" w:rsidRDefault="00680F0F" w:rsidP="00680F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136252ED" w14:textId="33876CFF" w:rsidR="00680F0F" w:rsidRPr="00330B8C" w:rsidRDefault="00680F0F" w:rsidP="00680F0F">
      <w:pPr>
        <w:pStyle w:val="paragraph"/>
        <w:numPr>
          <w:ilvl w:val="0"/>
          <w:numId w:val="105"/>
        </w:numPr>
        <w:tabs>
          <w:tab w:val="clear" w:pos="1440"/>
        </w:tabs>
        <w:spacing w:before="0" w:beforeAutospacing="0" w:after="0" w:afterAutospacing="0"/>
        <w:ind w:left="0" w:firstLine="720"/>
        <w:jc w:val="both"/>
        <w:textAlignment w:val="baseline"/>
        <w:rPr>
          <w:rFonts w:ascii="Cambria" w:hAnsi="Cambria" w:cs="Segoe UI"/>
          <w:sz w:val="20"/>
          <w:szCs w:val="20"/>
        </w:rPr>
      </w:pPr>
      <w:r w:rsidRPr="00330B8C">
        <w:rPr>
          <w:rStyle w:val="normaltextrun"/>
          <w:rFonts w:ascii="Cambria" w:hAnsi="Cambria"/>
          <w:sz w:val="20"/>
        </w:rPr>
        <w:t>The Inter-American Commission has closely monitored the</w:t>
      </w:r>
      <w:r w:rsidR="007947BC" w:rsidRPr="00330B8C">
        <w:rPr>
          <w:rStyle w:val="normaltextrun"/>
          <w:rFonts w:ascii="Cambria" w:hAnsi="Cambria"/>
          <w:sz w:val="20"/>
        </w:rPr>
        <w:t xml:space="preserve"> development </w:t>
      </w:r>
      <w:r w:rsidRPr="00330B8C">
        <w:rPr>
          <w:rStyle w:val="normaltextrun"/>
          <w:rFonts w:ascii="Cambria" w:hAnsi="Cambria"/>
          <w:sz w:val="20"/>
        </w:rPr>
        <w:t>of the friendly settlement reached in th</w:t>
      </w:r>
      <w:r w:rsidR="007947BC" w:rsidRPr="00330B8C">
        <w:rPr>
          <w:rStyle w:val="normaltextrun"/>
          <w:rFonts w:ascii="Cambria" w:hAnsi="Cambria"/>
          <w:sz w:val="20"/>
        </w:rPr>
        <w:t xml:space="preserve">is </w:t>
      </w:r>
      <w:r w:rsidRPr="00330B8C">
        <w:rPr>
          <w:rStyle w:val="normaltextrun"/>
          <w:rFonts w:ascii="Cambria" w:hAnsi="Cambria"/>
          <w:sz w:val="20"/>
        </w:rPr>
        <w:t xml:space="preserve">case and appreciates the efforts made by both parties during </w:t>
      </w:r>
      <w:r w:rsidR="007947BC" w:rsidRPr="00330B8C">
        <w:rPr>
          <w:rStyle w:val="normaltextrun"/>
          <w:rFonts w:ascii="Cambria" w:hAnsi="Cambria"/>
          <w:sz w:val="20"/>
        </w:rPr>
        <w:t xml:space="preserve">the </w:t>
      </w:r>
      <w:r w:rsidRPr="00330B8C">
        <w:rPr>
          <w:rStyle w:val="normaltextrun"/>
          <w:rFonts w:ascii="Cambria" w:hAnsi="Cambria"/>
          <w:sz w:val="20"/>
        </w:rPr>
        <w:t>negotiations to reach this friendly settlement, which is compatible with the object and purpose of the Convention.</w:t>
      </w:r>
    </w:p>
    <w:p w14:paraId="3E1406D2" w14:textId="77777777" w:rsidR="00680F0F" w:rsidRPr="00330B8C" w:rsidRDefault="00680F0F" w:rsidP="00680F0F">
      <w:pPr>
        <w:pStyle w:val="paragraph"/>
        <w:spacing w:before="0" w:beforeAutospacing="0" w:after="0" w:afterAutospacing="0"/>
        <w:ind w:left="720"/>
        <w:jc w:val="both"/>
        <w:textAlignment w:val="baseline"/>
        <w:rPr>
          <w:rStyle w:val="normaltextrun"/>
          <w:rFonts w:ascii="Cambria" w:hAnsi="Cambria" w:cs="Segoe UI"/>
          <w:sz w:val="20"/>
          <w:szCs w:val="20"/>
        </w:rPr>
      </w:pPr>
    </w:p>
    <w:p w14:paraId="21566D06" w14:textId="57DF2587" w:rsidR="00680F0F" w:rsidRPr="00330B8C" w:rsidRDefault="007947BC" w:rsidP="00680F0F">
      <w:pPr>
        <w:pStyle w:val="NormalWeb"/>
        <w:numPr>
          <w:ilvl w:val="0"/>
          <w:numId w:val="105"/>
        </w:numPr>
        <w:tabs>
          <w:tab w:val="clear" w:pos="1440"/>
        </w:tabs>
        <w:spacing w:before="0" w:beforeAutospacing="0" w:after="0" w:afterAutospacing="0"/>
        <w:ind w:left="0" w:firstLine="720"/>
        <w:jc w:val="both"/>
        <w:rPr>
          <w:rFonts w:ascii="Cambria" w:hAnsi="Cambria"/>
          <w:sz w:val="20"/>
          <w:szCs w:val="20"/>
        </w:rPr>
      </w:pPr>
      <w:r w:rsidRPr="00330B8C">
        <w:rPr>
          <w:rFonts w:ascii="Cambria" w:hAnsi="Cambria"/>
          <w:sz w:val="20"/>
        </w:rPr>
        <w:t xml:space="preserve">In accordance with </w:t>
      </w:r>
      <w:r w:rsidR="00680F0F" w:rsidRPr="00330B8C">
        <w:rPr>
          <w:rFonts w:ascii="Cambria" w:hAnsi="Cambria"/>
          <w:sz w:val="20"/>
        </w:rPr>
        <w:t>Clause III of the agreement, and in view of the State's confirmation on October 6, 2022, regarding the issuance of Decree No. 673/2022 of the National Executive Branch approving the FSA, as well as the request of the petitioning party of November 23, 2022</w:t>
      </w:r>
      <w:r w:rsidR="00480C88" w:rsidRPr="00330B8C">
        <w:rPr>
          <w:rFonts w:ascii="Cambria" w:hAnsi="Cambria"/>
          <w:sz w:val="20"/>
        </w:rPr>
        <w:t>,</w:t>
      </w:r>
      <w:r w:rsidR="00680F0F" w:rsidRPr="00330B8C">
        <w:rPr>
          <w:rFonts w:ascii="Cambria" w:hAnsi="Cambria"/>
          <w:sz w:val="20"/>
        </w:rPr>
        <w:t xml:space="preserve"> to move forward with its </w:t>
      </w:r>
      <w:r w:rsidRPr="00330B8C">
        <w:rPr>
          <w:rFonts w:ascii="Cambria" w:hAnsi="Cambria"/>
          <w:sz w:val="20"/>
        </w:rPr>
        <w:t>approval</w:t>
      </w:r>
      <w:r w:rsidR="00680F0F" w:rsidRPr="00330B8C">
        <w:rPr>
          <w:rFonts w:ascii="Cambria" w:hAnsi="Cambria"/>
          <w:sz w:val="20"/>
        </w:rPr>
        <w:t>, it is appropriate at this time to assess compliance with the commitments established in this instrument.</w:t>
      </w:r>
    </w:p>
    <w:p w14:paraId="0BA144A4" w14:textId="77777777" w:rsidR="00680F0F" w:rsidRPr="00330B8C" w:rsidRDefault="00680F0F" w:rsidP="00680F0F">
      <w:pPr>
        <w:pStyle w:val="ListParagraph"/>
        <w:ind w:left="0" w:firstLine="720"/>
        <w:rPr>
          <w:sz w:val="20"/>
          <w:szCs w:val="20"/>
        </w:rPr>
      </w:pPr>
    </w:p>
    <w:p w14:paraId="44D309AA" w14:textId="1FB80215" w:rsidR="00680F0F" w:rsidRPr="00330B8C" w:rsidRDefault="007947BC" w:rsidP="00680F0F">
      <w:pPr>
        <w:pStyle w:val="NormalWeb"/>
        <w:numPr>
          <w:ilvl w:val="0"/>
          <w:numId w:val="105"/>
        </w:numPr>
        <w:tabs>
          <w:tab w:val="clear" w:pos="1440"/>
        </w:tabs>
        <w:spacing w:before="0" w:beforeAutospacing="0" w:after="0" w:afterAutospacing="0"/>
        <w:ind w:left="0" w:firstLine="720"/>
        <w:jc w:val="both"/>
        <w:rPr>
          <w:rFonts w:ascii="Cambria" w:hAnsi="Cambria"/>
          <w:sz w:val="20"/>
          <w:szCs w:val="20"/>
        </w:rPr>
      </w:pPr>
      <w:r w:rsidRPr="00330B8C">
        <w:rPr>
          <w:rFonts w:ascii="Cambria" w:hAnsi="Cambria"/>
          <w:sz w:val="20"/>
        </w:rPr>
        <w:t xml:space="preserve">With regard </w:t>
      </w:r>
      <w:r w:rsidR="00680F0F" w:rsidRPr="00330B8C">
        <w:rPr>
          <w:rFonts w:ascii="Cambria" w:hAnsi="Cambria"/>
          <w:sz w:val="20"/>
        </w:rPr>
        <w:t xml:space="preserve">to clause II.2, </w:t>
      </w:r>
      <w:r w:rsidRPr="00330B8C">
        <w:rPr>
          <w:rFonts w:ascii="Cambria" w:hAnsi="Cambria"/>
          <w:sz w:val="20"/>
        </w:rPr>
        <w:t xml:space="preserve">on </w:t>
      </w:r>
      <w:r w:rsidR="00680F0F" w:rsidRPr="00330B8C">
        <w:rPr>
          <w:rFonts w:ascii="Cambria" w:hAnsi="Cambria"/>
          <w:sz w:val="20"/>
        </w:rPr>
        <w:t xml:space="preserve">the issuance of the ministerial resolution granting the reparation benefit </w:t>
      </w:r>
      <w:r w:rsidRPr="00330B8C">
        <w:rPr>
          <w:rFonts w:ascii="Cambria" w:hAnsi="Cambria"/>
          <w:sz w:val="20"/>
        </w:rPr>
        <w:t xml:space="preserve">established by </w:t>
      </w:r>
      <w:r w:rsidR="00680F0F" w:rsidRPr="00330B8C">
        <w:rPr>
          <w:rFonts w:ascii="Cambria" w:hAnsi="Cambria"/>
          <w:sz w:val="20"/>
        </w:rPr>
        <w:t>Law No. 24.043,</w:t>
      </w:r>
      <w:r w:rsidRPr="00330B8C">
        <w:rPr>
          <w:rFonts w:ascii="Cambria" w:hAnsi="Cambria"/>
          <w:sz w:val="20"/>
        </w:rPr>
        <w:t xml:space="preserve"> </w:t>
      </w:r>
      <w:r w:rsidR="00680F0F" w:rsidRPr="00330B8C">
        <w:rPr>
          <w:rFonts w:ascii="Cambria" w:hAnsi="Cambria"/>
          <w:sz w:val="20"/>
        </w:rPr>
        <w:t xml:space="preserve">the Commission notes that on April 17, 2023, the State reported that on January 19, 2023, the Minister of Justice and Human Rights of the Nation issued Resolution RESOL-2023-92-APN-MJ, </w:t>
      </w:r>
      <w:r w:rsidR="00FA6199" w:rsidRPr="00330B8C">
        <w:rPr>
          <w:rFonts w:ascii="Cambria" w:hAnsi="Cambria"/>
          <w:sz w:val="20"/>
        </w:rPr>
        <w:t xml:space="preserve">whereby it granted </w:t>
      </w:r>
      <w:r w:rsidR="00680F0F" w:rsidRPr="00330B8C">
        <w:rPr>
          <w:rFonts w:ascii="Cambria" w:hAnsi="Cambria"/>
          <w:sz w:val="20"/>
        </w:rPr>
        <w:t>Diego Pablo Paredes the benefit provided for in Law No. 24.043</w:t>
      </w:r>
      <w:r w:rsidR="00FA6199" w:rsidRPr="00330B8C">
        <w:rPr>
          <w:rFonts w:ascii="Cambria" w:hAnsi="Cambria"/>
          <w:sz w:val="20"/>
        </w:rPr>
        <w:t xml:space="preserve">, </w:t>
      </w:r>
      <w:r w:rsidR="00680F0F" w:rsidRPr="00330B8C">
        <w:rPr>
          <w:rFonts w:ascii="Cambria" w:hAnsi="Cambria"/>
          <w:sz w:val="20"/>
        </w:rPr>
        <w:t>establishing the number of days eligible for compensation and the corresponding compensat</w:t>
      </w:r>
      <w:r w:rsidR="00FA6199" w:rsidRPr="00330B8C">
        <w:rPr>
          <w:rFonts w:ascii="Cambria" w:hAnsi="Cambria"/>
          <w:sz w:val="20"/>
        </w:rPr>
        <w:t>ory</w:t>
      </w:r>
      <w:r w:rsidR="00680F0F" w:rsidRPr="00330B8C">
        <w:rPr>
          <w:rFonts w:ascii="Cambria" w:hAnsi="Cambria"/>
          <w:sz w:val="20"/>
        </w:rPr>
        <w:t xml:space="preserve"> amount. This information was brought to the attention of the petitioner. </w:t>
      </w:r>
      <w:r w:rsidR="00FA6199" w:rsidRPr="00330B8C">
        <w:rPr>
          <w:rFonts w:ascii="Cambria" w:hAnsi="Cambria"/>
          <w:sz w:val="20"/>
        </w:rPr>
        <w:t>Therefore</w:t>
      </w:r>
      <w:r w:rsidR="00680F0F" w:rsidRPr="00330B8C">
        <w:rPr>
          <w:rFonts w:ascii="Cambria" w:hAnsi="Cambria"/>
          <w:sz w:val="20"/>
        </w:rPr>
        <w:t xml:space="preserve">, the Commission considers, and hereby declares, that </w:t>
      </w:r>
      <w:r w:rsidR="00680F0F" w:rsidRPr="00330B8C">
        <w:rPr>
          <w:rFonts w:ascii="Cambria" w:hAnsi="Cambria"/>
          <w:sz w:val="20"/>
        </w:rPr>
        <w:lastRenderedPageBreak/>
        <w:t xml:space="preserve">clause II. 2 on the issuance of the </w:t>
      </w:r>
      <w:r w:rsidR="00FA6199" w:rsidRPr="00330B8C">
        <w:rPr>
          <w:rFonts w:ascii="Cambria" w:hAnsi="Cambria"/>
          <w:sz w:val="20"/>
        </w:rPr>
        <w:t>m</w:t>
      </w:r>
      <w:r w:rsidR="00680F0F" w:rsidRPr="00330B8C">
        <w:rPr>
          <w:rFonts w:ascii="Cambria" w:hAnsi="Cambria"/>
          <w:sz w:val="20"/>
        </w:rPr>
        <w:t xml:space="preserve">inisterial resolution to </w:t>
      </w:r>
      <w:r w:rsidR="00FA6199" w:rsidRPr="00330B8C">
        <w:rPr>
          <w:rFonts w:ascii="Cambria" w:hAnsi="Cambria"/>
          <w:sz w:val="20"/>
        </w:rPr>
        <w:t xml:space="preserve">grant </w:t>
      </w:r>
      <w:r w:rsidR="00680F0F" w:rsidRPr="00330B8C">
        <w:rPr>
          <w:rFonts w:ascii="Cambria" w:hAnsi="Cambria"/>
          <w:sz w:val="20"/>
        </w:rPr>
        <w:t>the reparation in favor of Mr. Paredes has been fully complied with</w:t>
      </w:r>
      <w:r w:rsidR="00FA6199" w:rsidRPr="00330B8C">
        <w:rPr>
          <w:rFonts w:ascii="Cambria" w:hAnsi="Cambria"/>
          <w:sz w:val="20"/>
        </w:rPr>
        <w:t xml:space="preserve"> and so declares it</w:t>
      </w:r>
      <w:r w:rsidR="00680F0F" w:rsidRPr="00330B8C">
        <w:rPr>
          <w:rFonts w:ascii="Cambria" w:hAnsi="Cambria"/>
          <w:sz w:val="20"/>
        </w:rPr>
        <w:t>.</w:t>
      </w:r>
    </w:p>
    <w:p w14:paraId="6F26A089" w14:textId="77777777" w:rsidR="00680F0F" w:rsidRPr="00330B8C" w:rsidRDefault="00680F0F" w:rsidP="00680F0F">
      <w:pPr>
        <w:pStyle w:val="NormalWeb"/>
        <w:spacing w:before="0" w:beforeAutospacing="0" w:after="0" w:afterAutospacing="0"/>
        <w:jc w:val="both"/>
        <w:rPr>
          <w:rFonts w:ascii="Cambria" w:hAnsi="Cambria"/>
          <w:sz w:val="20"/>
          <w:szCs w:val="20"/>
        </w:rPr>
      </w:pPr>
    </w:p>
    <w:p w14:paraId="37E9A98C" w14:textId="6F9441DF" w:rsidR="00680F0F" w:rsidRPr="00330B8C" w:rsidRDefault="00680F0F" w:rsidP="00680F0F">
      <w:pPr>
        <w:pStyle w:val="NormalWeb"/>
        <w:numPr>
          <w:ilvl w:val="0"/>
          <w:numId w:val="105"/>
        </w:numPr>
        <w:tabs>
          <w:tab w:val="clear" w:pos="1440"/>
        </w:tabs>
        <w:spacing w:before="0" w:beforeAutospacing="0" w:after="0" w:afterAutospacing="0"/>
        <w:ind w:left="0" w:firstLine="720"/>
        <w:jc w:val="both"/>
        <w:rPr>
          <w:rFonts w:ascii="Cambria" w:hAnsi="Cambria"/>
          <w:sz w:val="20"/>
          <w:szCs w:val="20"/>
        </w:rPr>
      </w:pPr>
      <w:r w:rsidRPr="00330B8C">
        <w:rPr>
          <w:rFonts w:ascii="Cambria" w:hAnsi="Cambria"/>
          <w:sz w:val="20"/>
        </w:rPr>
        <w:t xml:space="preserve">On the other hand, </w:t>
      </w:r>
      <w:r w:rsidR="00FA6199" w:rsidRPr="00330B8C">
        <w:rPr>
          <w:rFonts w:ascii="Cambria" w:hAnsi="Cambria"/>
          <w:sz w:val="20"/>
        </w:rPr>
        <w:t>regarding</w:t>
      </w:r>
      <w:r w:rsidRPr="00330B8C">
        <w:rPr>
          <w:rFonts w:ascii="Cambria" w:hAnsi="Cambria"/>
          <w:sz w:val="20"/>
        </w:rPr>
        <w:t xml:space="preserve"> clauses II.1 (payment of pecuniary reparation), II.3 (term), and II.4 (resolution under Law</w:t>
      </w:r>
      <w:r w:rsidR="000B2A52">
        <w:rPr>
          <w:rFonts w:ascii="Cambria" w:hAnsi="Cambria"/>
          <w:sz w:val="20"/>
        </w:rPr>
        <w:t xml:space="preserve"> No.</w:t>
      </w:r>
      <w:r w:rsidRPr="00330B8C">
        <w:rPr>
          <w:rFonts w:ascii="Cambria" w:hAnsi="Cambria"/>
          <w:sz w:val="20"/>
        </w:rPr>
        <w:t xml:space="preserve"> 26.913) of the friendly settlement agreement, the Commission considers, and hereby declares, that compliance is still pending. Therefore, the Commission </w:t>
      </w:r>
      <w:r w:rsidR="00FA6199" w:rsidRPr="00330B8C">
        <w:rPr>
          <w:rFonts w:ascii="Cambria" w:hAnsi="Cambria"/>
          <w:sz w:val="20"/>
        </w:rPr>
        <w:t>considers,</w:t>
      </w:r>
      <w:r w:rsidRPr="00330B8C">
        <w:rPr>
          <w:rFonts w:ascii="Cambria" w:hAnsi="Cambria"/>
          <w:sz w:val="20"/>
        </w:rPr>
        <w:t xml:space="preserve"> and hereby declares, that the friendly settlement agreement has </w:t>
      </w:r>
      <w:r w:rsidR="00FA6199" w:rsidRPr="00330B8C">
        <w:rPr>
          <w:rFonts w:ascii="Cambria" w:hAnsi="Cambria"/>
          <w:sz w:val="20"/>
        </w:rPr>
        <w:t>a partial level of compliance</w:t>
      </w:r>
      <w:r w:rsidRPr="00330B8C">
        <w:rPr>
          <w:rFonts w:ascii="Cambria" w:hAnsi="Cambria"/>
          <w:sz w:val="20"/>
        </w:rPr>
        <w:t xml:space="preserve">. In this </w:t>
      </w:r>
      <w:r w:rsidR="00FA6199" w:rsidRPr="00330B8C">
        <w:rPr>
          <w:rFonts w:ascii="Cambria" w:hAnsi="Cambria"/>
          <w:sz w:val="20"/>
        </w:rPr>
        <w:t>respect</w:t>
      </w:r>
      <w:r w:rsidRPr="00330B8C">
        <w:rPr>
          <w:rFonts w:ascii="Cambria" w:hAnsi="Cambria"/>
          <w:sz w:val="20"/>
        </w:rPr>
        <w:t xml:space="preserve">, the Commission will continue to monitor the implementation of the FSA until </w:t>
      </w:r>
      <w:r w:rsidR="00FA6199" w:rsidRPr="00330B8C">
        <w:rPr>
          <w:rFonts w:ascii="Cambria" w:hAnsi="Cambria"/>
          <w:sz w:val="20"/>
        </w:rPr>
        <w:t>full compliance is achieved</w:t>
      </w:r>
      <w:r w:rsidRPr="00330B8C">
        <w:rPr>
          <w:rFonts w:ascii="Cambria" w:hAnsi="Cambria"/>
          <w:sz w:val="20"/>
        </w:rPr>
        <w:t>.</w:t>
      </w:r>
    </w:p>
    <w:p w14:paraId="1A1A2A6A" w14:textId="77777777" w:rsidR="00680F0F" w:rsidRPr="007947BC" w:rsidRDefault="00680F0F" w:rsidP="00680F0F">
      <w:pPr>
        <w:pStyle w:val="NormalWeb"/>
        <w:spacing w:before="0" w:beforeAutospacing="0" w:after="0" w:afterAutospacing="0"/>
        <w:ind w:firstLine="720"/>
        <w:jc w:val="both"/>
        <w:rPr>
          <w:rFonts w:ascii="Cambria" w:hAnsi="Cambria"/>
          <w:sz w:val="20"/>
          <w:szCs w:val="20"/>
          <w:highlight w:val="yellow"/>
        </w:rPr>
      </w:pPr>
    </w:p>
    <w:p w14:paraId="78D9F414" w14:textId="41F34D18" w:rsidR="00680F0F" w:rsidRPr="00330B8C" w:rsidRDefault="00680F0F" w:rsidP="00680F0F">
      <w:pPr>
        <w:pStyle w:val="NormalWeb"/>
        <w:numPr>
          <w:ilvl w:val="0"/>
          <w:numId w:val="105"/>
        </w:numPr>
        <w:tabs>
          <w:tab w:val="clear" w:pos="1440"/>
        </w:tabs>
        <w:spacing w:before="0" w:beforeAutospacing="0" w:after="0" w:afterAutospacing="0"/>
        <w:ind w:left="0" w:firstLine="720"/>
        <w:jc w:val="both"/>
        <w:rPr>
          <w:rFonts w:ascii="Cambria" w:hAnsi="Cambria"/>
          <w:sz w:val="20"/>
          <w:szCs w:val="20"/>
        </w:rPr>
      </w:pPr>
      <w:r w:rsidRPr="00330B8C">
        <w:rPr>
          <w:rFonts w:ascii="Cambria" w:hAnsi="Cambria"/>
          <w:sz w:val="20"/>
        </w:rPr>
        <w:t>Finally, the Commission considers that the rest of the content</w:t>
      </w:r>
      <w:r w:rsidR="00FA6199" w:rsidRPr="00330B8C">
        <w:rPr>
          <w:rFonts w:ascii="Cambria" w:hAnsi="Cambria"/>
          <w:sz w:val="20"/>
        </w:rPr>
        <w:t>s</w:t>
      </w:r>
      <w:r w:rsidRPr="00330B8C">
        <w:rPr>
          <w:rFonts w:ascii="Cambria" w:hAnsi="Cambria"/>
          <w:sz w:val="20"/>
        </w:rPr>
        <w:t xml:space="preserve"> of the agreement </w:t>
      </w:r>
      <w:r w:rsidR="00FA6199" w:rsidRPr="00330B8C">
        <w:rPr>
          <w:rFonts w:ascii="Cambria" w:hAnsi="Cambria"/>
          <w:sz w:val="20"/>
        </w:rPr>
        <w:t xml:space="preserve">are </w:t>
      </w:r>
      <w:r w:rsidRPr="00330B8C">
        <w:rPr>
          <w:rFonts w:ascii="Cambria" w:hAnsi="Cambria"/>
          <w:sz w:val="20"/>
        </w:rPr>
        <w:t>of a declarative nature</w:t>
      </w:r>
      <w:r w:rsidR="00FA6199" w:rsidRPr="00330B8C">
        <w:rPr>
          <w:rFonts w:ascii="Cambria" w:hAnsi="Cambria"/>
          <w:sz w:val="20"/>
        </w:rPr>
        <w:t>,</w:t>
      </w:r>
      <w:r w:rsidRPr="00330B8C">
        <w:rPr>
          <w:rFonts w:ascii="Cambria" w:hAnsi="Cambria"/>
          <w:sz w:val="20"/>
        </w:rPr>
        <w:t xml:space="preserve"> and therefore</w:t>
      </w:r>
      <w:r w:rsidR="00FA6199" w:rsidRPr="00330B8C">
        <w:rPr>
          <w:rFonts w:ascii="Cambria" w:hAnsi="Cambria"/>
          <w:sz w:val="20"/>
        </w:rPr>
        <w:t>,</w:t>
      </w:r>
      <w:r w:rsidRPr="00330B8C">
        <w:rPr>
          <w:rFonts w:ascii="Cambria" w:hAnsi="Cambria"/>
          <w:sz w:val="20"/>
        </w:rPr>
        <w:t xml:space="preserve"> do</w:t>
      </w:r>
      <w:r w:rsidR="00FA6199" w:rsidRPr="00330B8C">
        <w:rPr>
          <w:rFonts w:ascii="Cambria" w:hAnsi="Cambria"/>
          <w:sz w:val="20"/>
        </w:rPr>
        <w:t xml:space="preserve"> </w:t>
      </w:r>
      <w:r w:rsidRPr="00330B8C">
        <w:rPr>
          <w:rFonts w:ascii="Cambria" w:hAnsi="Cambria"/>
          <w:sz w:val="20"/>
        </w:rPr>
        <w:t>not fall under its supervision.</w:t>
      </w:r>
    </w:p>
    <w:p w14:paraId="0D991B79" w14:textId="77777777" w:rsidR="002A65AC" w:rsidRPr="00330B8C" w:rsidRDefault="002A65AC" w:rsidP="00680F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330B8C"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330B8C">
        <w:rPr>
          <w:b/>
          <w:color w:val="000000" w:themeColor="text1"/>
          <w:sz w:val="20"/>
        </w:rPr>
        <w:t>CONCLUSIONS</w:t>
      </w:r>
    </w:p>
    <w:p w14:paraId="628FF974" w14:textId="77777777" w:rsidR="00DA37B6" w:rsidRPr="00330B8C"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39ACA18F" w14:textId="034E4249" w:rsidR="00680F0F" w:rsidRPr="00DD5436" w:rsidRDefault="00680F0F" w:rsidP="00680F0F">
      <w:pPr>
        <w:pStyle w:val="ListParagraph"/>
        <w:numPr>
          <w:ilvl w:val="0"/>
          <w:numId w:val="109"/>
        </w:numPr>
        <w:tabs>
          <w:tab w:val="left" w:pos="720"/>
        </w:tabs>
        <w:ind w:left="0" w:firstLine="706"/>
        <w:jc w:val="both"/>
        <w:rPr>
          <w:rFonts w:eastAsia="MS Mincho"/>
          <w:sz w:val="20"/>
          <w:szCs w:val="20"/>
        </w:rPr>
      </w:pPr>
      <w:r w:rsidRPr="00330B8C">
        <w:rPr>
          <w:sz w:val="20"/>
        </w:rPr>
        <w:t xml:space="preserve">Based on the foregoing and in keeping with the procedure provided for in Articles 48(1)(f) and 49 of the American Convention, the Commission </w:t>
      </w:r>
      <w:r w:rsidR="00FA6199" w:rsidRPr="00330B8C">
        <w:rPr>
          <w:sz w:val="20"/>
        </w:rPr>
        <w:t xml:space="preserve">wishes </w:t>
      </w:r>
      <w:r w:rsidRPr="00330B8C">
        <w:rPr>
          <w:sz w:val="20"/>
        </w:rPr>
        <w:t xml:space="preserve">to reiterate its </w:t>
      </w:r>
      <w:r w:rsidR="00FA6199" w:rsidRPr="00330B8C">
        <w:rPr>
          <w:sz w:val="20"/>
        </w:rPr>
        <w:t xml:space="preserve">deep </w:t>
      </w:r>
      <w:r w:rsidRPr="00330B8C">
        <w:rPr>
          <w:sz w:val="20"/>
        </w:rPr>
        <w:t xml:space="preserve">appreciation </w:t>
      </w:r>
      <w:r w:rsidR="00FA6199" w:rsidRPr="00330B8C">
        <w:rPr>
          <w:sz w:val="20"/>
        </w:rPr>
        <w:t xml:space="preserve">for </w:t>
      </w:r>
      <w:r w:rsidRPr="00330B8C">
        <w:rPr>
          <w:sz w:val="20"/>
        </w:rPr>
        <w:t xml:space="preserve">the efforts made by the parties and its satisfaction </w:t>
      </w:r>
      <w:r w:rsidR="00FA6199" w:rsidRPr="00330B8C">
        <w:rPr>
          <w:sz w:val="20"/>
        </w:rPr>
        <w:t xml:space="preserve">with the achievement of </w:t>
      </w:r>
      <w:r w:rsidRPr="00330B8C">
        <w:rPr>
          <w:sz w:val="20"/>
        </w:rPr>
        <w:t>a friendly settlement</w:t>
      </w:r>
      <w:r>
        <w:rPr>
          <w:sz w:val="20"/>
        </w:rPr>
        <w:t xml:space="preserve"> in th</w:t>
      </w:r>
      <w:r w:rsidR="00FA6199">
        <w:rPr>
          <w:sz w:val="20"/>
        </w:rPr>
        <w:t>is</w:t>
      </w:r>
      <w:r>
        <w:rPr>
          <w:sz w:val="20"/>
        </w:rPr>
        <w:t xml:space="preserve"> case</w:t>
      </w:r>
      <w:r w:rsidR="00FA6199">
        <w:rPr>
          <w:sz w:val="20"/>
        </w:rPr>
        <w:t>, based</w:t>
      </w:r>
      <w:r>
        <w:rPr>
          <w:sz w:val="20"/>
        </w:rPr>
        <w:t xml:space="preserve"> on respect for human rights and consistent with the object and purpose of the American Convention.  </w:t>
      </w:r>
    </w:p>
    <w:p w14:paraId="2EBECF0E" w14:textId="77777777" w:rsidR="00680F0F" w:rsidRDefault="00680F0F" w:rsidP="00680F0F">
      <w:pPr>
        <w:tabs>
          <w:tab w:val="left" w:pos="720"/>
          <w:tab w:val="left" w:pos="1440"/>
        </w:tabs>
        <w:ind w:firstLine="706"/>
        <w:jc w:val="both"/>
        <w:rPr>
          <w:rFonts w:ascii="Cambria" w:eastAsia="MS Mincho" w:hAnsi="Cambria" w:cs="Cambria"/>
          <w:sz w:val="20"/>
          <w:szCs w:val="20"/>
          <w:lang w:eastAsia="es-ES"/>
        </w:rPr>
      </w:pPr>
    </w:p>
    <w:p w14:paraId="691A1956" w14:textId="77777777" w:rsidR="00680F0F" w:rsidRDefault="00680F0F" w:rsidP="00680F0F">
      <w:pPr>
        <w:tabs>
          <w:tab w:val="left" w:pos="720"/>
        </w:tabs>
        <w:ind w:firstLine="706"/>
        <w:jc w:val="both"/>
        <w:rPr>
          <w:rFonts w:ascii="Cambria" w:eastAsia="MS Mincho" w:hAnsi="Cambria" w:cs="Cambria"/>
          <w:sz w:val="20"/>
          <w:szCs w:val="20"/>
        </w:rPr>
      </w:pPr>
      <w:r>
        <w:rPr>
          <w:rFonts w:ascii="Cambria" w:hAnsi="Cambria"/>
          <w:sz w:val="20"/>
        </w:rPr>
        <w:t xml:space="preserve">2. </w:t>
      </w:r>
      <w:r>
        <w:tab/>
      </w:r>
      <w:r>
        <w:rPr>
          <w:rFonts w:ascii="Cambria" w:hAnsi="Cambria"/>
          <w:sz w:val="20"/>
        </w:rPr>
        <w:t xml:space="preserve">Based on the considerations and conclusions contained in this report, </w:t>
      </w:r>
    </w:p>
    <w:p w14:paraId="69A0DE64" w14:textId="77777777" w:rsidR="00FA675D" w:rsidRPr="00680F0F"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FA675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rPr>
      </w:pPr>
      <w:r>
        <w:rPr>
          <w:rFonts w:ascii="Cambria" w:hAnsi="Cambria"/>
          <w:b/>
          <w:color w:val="000000" w:themeColor="text1"/>
          <w:sz w:val="20"/>
        </w:rPr>
        <w:t>THE INTER-AMERICAN COMMISSION ON HUMAN RIGHTS</w:t>
      </w:r>
    </w:p>
    <w:p w14:paraId="710D6B65" w14:textId="77777777" w:rsidR="00FA675D" w:rsidRPr="00FA675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rPr>
      </w:pPr>
      <w:r>
        <w:rPr>
          <w:rFonts w:ascii="Cambria" w:hAnsi="Cambria"/>
          <w:b/>
          <w:color w:val="000000" w:themeColor="text1"/>
          <w:sz w:val="20"/>
          <w:bdr w:val="none" w:sz="0" w:space="0" w:color="auto"/>
        </w:rPr>
        <w:t>DECIDE</w:t>
      </w:r>
      <w:r>
        <w:rPr>
          <w:rFonts w:ascii="Cambria" w:hAnsi="Cambria"/>
          <w:b/>
          <w:color w:val="000000" w:themeColor="text1"/>
          <w:sz w:val="20"/>
        </w:rPr>
        <w:t>S</w:t>
      </w:r>
      <w:r>
        <w:rPr>
          <w:rFonts w:ascii="Cambria" w:hAnsi="Cambria"/>
          <w:b/>
          <w:color w:val="000000" w:themeColor="text1"/>
          <w:sz w:val="20"/>
          <w:bdr w:val="none" w:sz="0" w:space="0" w:color="auto"/>
        </w:rPr>
        <w:t xml:space="preserve">: </w:t>
      </w:r>
    </w:p>
    <w:p w14:paraId="1FA2BB0B" w14:textId="43576AE1" w:rsidR="00FA675D" w:rsidRDefault="00FA675D" w:rsidP="00145EDC">
      <w:pPr>
        <w:tabs>
          <w:tab w:val="center" w:pos="5400"/>
        </w:tabs>
        <w:suppressAutoHyphens/>
        <w:spacing w:line="276" w:lineRule="auto"/>
        <w:rPr>
          <w:rFonts w:asciiTheme="majorHAnsi" w:hAnsiTheme="majorHAnsi"/>
          <w:sz w:val="20"/>
          <w:szCs w:val="20"/>
        </w:rPr>
      </w:pPr>
    </w:p>
    <w:p w14:paraId="6352881E" w14:textId="12EA8885" w:rsidR="00680F0F" w:rsidRPr="0034313D" w:rsidRDefault="00680F0F" w:rsidP="00680F0F">
      <w:pPr>
        <w:pStyle w:val="paragraph"/>
        <w:numPr>
          <w:ilvl w:val="0"/>
          <w:numId w:val="108"/>
        </w:numPr>
        <w:spacing w:before="0" w:beforeAutospacing="0" w:after="0" w:afterAutospacing="0"/>
        <w:ind w:firstLine="0"/>
        <w:jc w:val="both"/>
        <w:textAlignment w:val="baseline"/>
        <w:rPr>
          <w:rFonts w:ascii="Cambria" w:hAnsi="Cambria" w:cs="Segoe UI"/>
          <w:sz w:val="20"/>
          <w:szCs w:val="20"/>
        </w:rPr>
      </w:pPr>
      <w:r w:rsidRPr="0034313D">
        <w:rPr>
          <w:rFonts w:ascii="Cambria" w:hAnsi="Cambria"/>
          <w:sz w:val="20"/>
        </w:rPr>
        <w:t>To approve the terms of the friendly settlement agreement</w:t>
      </w:r>
      <w:r w:rsidR="00FA6199" w:rsidRPr="0034313D">
        <w:rPr>
          <w:rFonts w:ascii="Cambria" w:hAnsi="Cambria"/>
          <w:sz w:val="20"/>
        </w:rPr>
        <w:t xml:space="preserve"> signed by </w:t>
      </w:r>
      <w:r w:rsidRPr="0034313D">
        <w:rPr>
          <w:rFonts w:ascii="Cambria" w:hAnsi="Cambria"/>
          <w:sz w:val="20"/>
        </w:rPr>
        <w:t>the parties on February 23, 2022.</w:t>
      </w:r>
    </w:p>
    <w:p w14:paraId="703CCF7F" w14:textId="77777777" w:rsidR="00680F0F" w:rsidRPr="0034313D"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67F12ADA" w14:textId="4A8414BB" w:rsidR="00680F0F" w:rsidRPr="0034313D" w:rsidRDefault="00680F0F" w:rsidP="00680F0F">
      <w:pPr>
        <w:pStyle w:val="paragraph"/>
        <w:numPr>
          <w:ilvl w:val="0"/>
          <w:numId w:val="108"/>
        </w:numPr>
        <w:spacing w:before="0" w:beforeAutospacing="0" w:after="0" w:afterAutospacing="0"/>
        <w:ind w:firstLine="0"/>
        <w:jc w:val="both"/>
        <w:textAlignment w:val="baseline"/>
        <w:rPr>
          <w:rFonts w:ascii="Cambria" w:hAnsi="Cambria" w:cs="Segoe UI"/>
          <w:sz w:val="20"/>
          <w:szCs w:val="20"/>
        </w:rPr>
      </w:pPr>
      <w:r w:rsidRPr="0034313D">
        <w:rPr>
          <w:rFonts w:ascii="Cambria" w:hAnsi="Cambria"/>
          <w:sz w:val="20"/>
        </w:rPr>
        <w:t xml:space="preserve">To declare clause II.2 (issuance of ministerial resolution of Law No. 24.093) of the friendly settlement agreement fully complied with, </w:t>
      </w:r>
      <w:r w:rsidR="00FA6199" w:rsidRPr="0034313D">
        <w:rPr>
          <w:rFonts w:ascii="Cambria" w:hAnsi="Cambria"/>
          <w:sz w:val="20"/>
        </w:rPr>
        <w:t xml:space="preserve">according to </w:t>
      </w:r>
      <w:r w:rsidRPr="0034313D">
        <w:rPr>
          <w:rFonts w:ascii="Cambria" w:hAnsi="Cambria"/>
          <w:sz w:val="20"/>
        </w:rPr>
        <w:t xml:space="preserve">the analysis contained in this report. </w:t>
      </w:r>
    </w:p>
    <w:p w14:paraId="2A05E6CE" w14:textId="77777777" w:rsidR="00680F0F" w:rsidRPr="0034313D" w:rsidRDefault="00680F0F" w:rsidP="00680F0F">
      <w:pPr>
        <w:pStyle w:val="ListParagraph"/>
        <w:rPr>
          <w:rFonts w:cs="Segoe UI"/>
          <w:sz w:val="20"/>
          <w:szCs w:val="20"/>
        </w:rPr>
      </w:pPr>
    </w:p>
    <w:p w14:paraId="3F743F1C" w14:textId="2B39C648" w:rsidR="00680F0F" w:rsidRPr="0034313D" w:rsidRDefault="00680F0F" w:rsidP="00680F0F">
      <w:pPr>
        <w:pStyle w:val="paragraph"/>
        <w:numPr>
          <w:ilvl w:val="0"/>
          <w:numId w:val="108"/>
        </w:numPr>
        <w:spacing w:before="0" w:beforeAutospacing="0" w:after="0" w:afterAutospacing="0"/>
        <w:ind w:firstLine="0"/>
        <w:jc w:val="both"/>
        <w:textAlignment w:val="baseline"/>
        <w:rPr>
          <w:rFonts w:ascii="Cambria" w:hAnsi="Cambria" w:cs="Segoe UI"/>
          <w:sz w:val="20"/>
          <w:szCs w:val="20"/>
        </w:rPr>
      </w:pPr>
      <w:r w:rsidRPr="0034313D">
        <w:rPr>
          <w:rFonts w:ascii="Cambria" w:hAnsi="Cambria"/>
          <w:sz w:val="20"/>
        </w:rPr>
        <w:t xml:space="preserve">To declare clauses II.1 (payment of pecuniary reparation), II.3 (term), and II.4 (resolution under Law </w:t>
      </w:r>
      <w:r w:rsidR="000B2A52">
        <w:rPr>
          <w:rFonts w:ascii="Cambria" w:hAnsi="Cambria"/>
          <w:sz w:val="20"/>
        </w:rPr>
        <w:t xml:space="preserve">No. </w:t>
      </w:r>
      <w:r w:rsidRPr="0034313D">
        <w:rPr>
          <w:rFonts w:ascii="Cambria" w:hAnsi="Cambria"/>
          <w:sz w:val="20"/>
        </w:rPr>
        <w:t xml:space="preserve">26.913) of the friendly settlement agreement pending compliance, </w:t>
      </w:r>
      <w:r w:rsidR="00FA6199" w:rsidRPr="0034313D">
        <w:rPr>
          <w:rFonts w:ascii="Cambria" w:hAnsi="Cambria"/>
          <w:sz w:val="20"/>
        </w:rPr>
        <w:t xml:space="preserve">according to </w:t>
      </w:r>
      <w:r w:rsidRPr="0034313D">
        <w:rPr>
          <w:rFonts w:ascii="Cambria" w:hAnsi="Cambria"/>
          <w:sz w:val="20"/>
        </w:rPr>
        <w:t>the analysis contained in this report.</w:t>
      </w:r>
    </w:p>
    <w:p w14:paraId="69A5D994" w14:textId="77777777" w:rsidR="00680F0F" w:rsidRPr="0034313D" w:rsidRDefault="00680F0F" w:rsidP="00680F0F">
      <w:pPr>
        <w:pStyle w:val="paragraph"/>
        <w:spacing w:before="0" w:beforeAutospacing="0" w:after="0" w:afterAutospacing="0"/>
        <w:ind w:left="720"/>
        <w:jc w:val="both"/>
        <w:textAlignment w:val="baseline"/>
        <w:rPr>
          <w:rFonts w:ascii="Cambria" w:hAnsi="Cambria" w:cs="Segoe UI"/>
          <w:sz w:val="20"/>
          <w:szCs w:val="20"/>
        </w:rPr>
      </w:pPr>
    </w:p>
    <w:p w14:paraId="1A98FCC0" w14:textId="7C58804B" w:rsidR="00680F0F" w:rsidRPr="0034313D" w:rsidRDefault="00680F0F" w:rsidP="00680F0F">
      <w:pPr>
        <w:pStyle w:val="NormalWeb"/>
        <w:numPr>
          <w:ilvl w:val="0"/>
          <w:numId w:val="108"/>
        </w:numPr>
        <w:spacing w:before="0" w:beforeAutospacing="0" w:after="0" w:afterAutospacing="0"/>
        <w:ind w:firstLine="0"/>
        <w:jc w:val="both"/>
        <w:rPr>
          <w:rFonts w:ascii="Cambria" w:hAnsi="Cambria"/>
          <w:sz w:val="20"/>
          <w:szCs w:val="20"/>
        </w:rPr>
      </w:pPr>
      <w:r w:rsidRPr="0034313D">
        <w:rPr>
          <w:rFonts w:ascii="Cambria" w:hAnsi="Cambria"/>
          <w:sz w:val="20"/>
        </w:rPr>
        <w:t xml:space="preserve">To declare that the friendly settlement agreement has </w:t>
      </w:r>
      <w:r w:rsidR="00FA6199" w:rsidRPr="0034313D">
        <w:rPr>
          <w:rFonts w:ascii="Cambria" w:hAnsi="Cambria"/>
          <w:sz w:val="20"/>
        </w:rPr>
        <w:t>a level of partial compliance</w:t>
      </w:r>
      <w:r w:rsidR="00523B70" w:rsidRPr="0034313D">
        <w:rPr>
          <w:rFonts w:ascii="Cambria" w:hAnsi="Cambria"/>
          <w:sz w:val="20"/>
        </w:rPr>
        <w:t xml:space="preserve">, according to </w:t>
      </w:r>
      <w:r w:rsidRPr="0034313D">
        <w:rPr>
          <w:rFonts w:ascii="Cambria" w:hAnsi="Cambria"/>
          <w:sz w:val="20"/>
        </w:rPr>
        <w:t>the analysis contained in this report.</w:t>
      </w:r>
    </w:p>
    <w:p w14:paraId="7A25207F" w14:textId="77777777" w:rsidR="00680F0F" w:rsidRPr="0034313D" w:rsidRDefault="00680F0F" w:rsidP="00680F0F">
      <w:pPr>
        <w:pStyle w:val="NormalWeb"/>
        <w:spacing w:before="0" w:beforeAutospacing="0" w:after="0" w:afterAutospacing="0"/>
        <w:ind w:left="720"/>
        <w:jc w:val="both"/>
        <w:rPr>
          <w:rFonts w:ascii="Cambria" w:hAnsi="Cambria"/>
          <w:sz w:val="20"/>
          <w:szCs w:val="20"/>
        </w:rPr>
      </w:pPr>
    </w:p>
    <w:p w14:paraId="7D5CA4AA" w14:textId="189FE90A" w:rsidR="00680F0F" w:rsidRPr="0034313D" w:rsidRDefault="00680F0F" w:rsidP="00680F0F">
      <w:pPr>
        <w:pStyle w:val="NormalWeb"/>
        <w:numPr>
          <w:ilvl w:val="0"/>
          <w:numId w:val="108"/>
        </w:numPr>
        <w:spacing w:before="0" w:beforeAutospacing="0" w:after="0" w:afterAutospacing="0"/>
        <w:ind w:firstLine="0"/>
        <w:jc w:val="both"/>
        <w:rPr>
          <w:rFonts w:ascii="Cambria" w:hAnsi="Cambria"/>
          <w:sz w:val="20"/>
          <w:szCs w:val="20"/>
        </w:rPr>
      </w:pPr>
      <w:r w:rsidRPr="0034313D">
        <w:rPr>
          <w:rFonts w:ascii="Cambria" w:hAnsi="Cambria"/>
          <w:sz w:val="20"/>
        </w:rPr>
        <w:t xml:space="preserve">To continue to monitor compliance with clauses II.1 (payment of pecuniary reparation), II.3 (term), and II.4 (resolution under Law </w:t>
      </w:r>
      <w:r w:rsidR="000B2A52">
        <w:rPr>
          <w:rFonts w:ascii="Cambria" w:hAnsi="Cambria"/>
          <w:sz w:val="20"/>
        </w:rPr>
        <w:t xml:space="preserve">No. </w:t>
      </w:r>
      <w:r w:rsidRPr="0034313D">
        <w:rPr>
          <w:rFonts w:ascii="Cambria" w:hAnsi="Cambria"/>
          <w:sz w:val="20"/>
        </w:rPr>
        <w:t>26.913) of the friendly settlement agreement,</w:t>
      </w:r>
      <w:r w:rsidR="00523B70" w:rsidRPr="0034313D">
        <w:rPr>
          <w:rFonts w:ascii="Cambria" w:hAnsi="Cambria"/>
          <w:sz w:val="20"/>
        </w:rPr>
        <w:t xml:space="preserve"> according to</w:t>
      </w:r>
      <w:r w:rsidRPr="0034313D">
        <w:rPr>
          <w:rFonts w:ascii="Cambria" w:hAnsi="Cambria"/>
          <w:sz w:val="20"/>
        </w:rPr>
        <w:t xml:space="preserve"> the analysis contained in this report. To th</w:t>
      </w:r>
      <w:r w:rsidR="00523B70" w:rsidRPr="0034313D">
        <w:rPr>
          <w:rFonts w:ascii="Cambria" w:hAnsi="Cambria"/>
          <w:sz w:val="20"/>
        </w:rPr>
        <w:t>is</w:t>
      </w:r>
      <w:r w:rsidRPr="0034313D">
        <w:rPr>
          <w:rFonts w:ascii="Cambria" w:hAnsi="Cambria"/>
          <w:sz w:val="20"/>
        </w:rPr>
        <w:t xml:space="preserve"> end, to remind the parties of their commitment to </w:t>
      </w:r>
      <w:r w:rsidR="00523B70" w:rsidRPr="0034313D">
        <w:rPr>
          <w:rFonts w:ascii="Cambria" w:hAnsi="Cambria"/>
          <w:sz w:val="20"/>
        </w:rPr>
        <w:t xml:space="preserve">report periodically to the </w:t>
      </w:r>
      <w:r w:rsidRPr="0034313D">
        <w:rPr>
          <w:rFonts w:ascii="Cambria" w:hAnsi="Cambria"/>
          <w:sz w:val="20"/>
        </w:rPr>
        <w:t xml:space="preserve">IACHR </w:t>
      </w:r>
      <w:r w:rsidR="00523B70" w:rsidRPr="0034313D">
        <w:rPr>
          <w:rFonts w:ascii="Cambria" w:hAnsi="Cambria"/>
          <w:sz w:val="20"/>
        </w:rPr>
        <w:t xml:space="preserve">on their </w:t>
      </w:r>
      <w:r w:rsidRPr="0034313D">
        <w:rPr>
          <w:rFonts w:ascii="Cambria" w:hAnsi="Cambria"/>
          <w:sz w:val="20"/>
        </w:rPr>
        <w:t>compliance.</w:t>
      </w:r>
    </w:p>
    <w:p w14:paraId="662609C3" w14:textId="77777777" w:rsidR="00680F0F" w:rsidRPr="0034313D" w:rsidRDefault="00680F0F" w:rsidP="00680F0F">
      <w:pPr>
        <w:pStyle w:val="NormalWeb"/>
        <w:spacing w:before="0" w:beforeAutospacing="0" w:after="0" w:afterAutospacing="0"/>
        <w:jc w:val="both"/>
        <w:rPr>
          <w:rFonts w:ascii="Cambria" w:hAnsi="Cambria"/>
          <w:sz w:val="20"/>
          <w:szCs w:val="20"/>
        </w:rPr>
      </w:pPr>
    </w:p>
    <w:p w14:paraId="5C516F5B" w14:textId="77777777" w:rsidR="00680F0F" w:rsidRPr="0034313D" w:rsidRDefault="00680F0F" w:rsidP="00680F0F">
      <w:pPr>
        <w:pStyle w:val="NormalWeb"/>
        <w:numPr>
          <w:ilvl w:val="0"/>
          <w:numId w:val="108"/>
        </w:numPr>
        <w:spacing w:before="0" w:beforeAutospacing="0" w:after="0" w:afterAutospacing="0"/>
        <w:ind w:firstLine="0"/>
        <w:jc w:val="both"/>
        <w:rPr>
          <w:rFonts w:ascii="Cambria" w:hAnsi="Cambria"/>
          <w:sz w:val="20"/>
          <w:szCs w:val="20"/>
        </w:rPr>
      </w:pPr>
      <w:r w:rsidRPr="0034313D">
        <w:rPr>
          <w:rFonts w:ascii="Cambria" w:hAnsi="Cambria"/>
          <w:sz w:val="20"/>
        </w:rPr>
        <w:t>To publish the present report and include it in its Annual Report to the General Assembly of the OAS.</w:t>
      </w:r>
    </w:p>
    <w:p w14:paraId="0BAC129B" w14:textId="77777777" w:rsidR="00680F0F" w:rsidRDefault="00680F0F" w:rsidP="00145EDC">
      <w:pPr>
        <w:tabs>
          <w:tab w:val="center" w:pos="5400"/>
        </w:tabs>
        <w:suppressAutoHyphens/>
        <w:spacing w:line="276" w:lineRule="auto"/>
        <w:rPr>
          <w:rFonts w:asciiTheme="majorHAnsi" w:hAnsiTheme="majorHAnsi"/>
          <w:sz w:val="20"/>
          <w:szCs w:val="20"/>
        </w:rPr>
      </w:pPr>
    </w:p>
    <w:p w14:paraId="02C906AC" w14:textId="13A06664" w:rsidR="006E32D7" w:rsidRPr="000B2A52" w:rsidRDefault="006E32D7" w:rsidP="006E32D7">
      <w:pPr>
        <w:suppressAutoHyphens/>
        <w:ind w:firstLine="720"/>
        <w:jc w:val="both"/>
        <w:rPr>
          <w:rFonts w:asciiTheme="majorHAnsi" w:hAnsiTheme="majorHAnsi"/>
          <w:sz w:val="20"/>
          <w:szCs w:val="20"/>
        </w:rPr>
      </w:pPr>
      <w:r w:rsidRPr="001E4CF2">
        <w:rPr>
          <w:rStyle w:val="normaltextrun"/>
          <w:rFonts w:ascii="Cambria" w:hAnsi="Cambria"/>
          <w:color w:val="000000"/>
          <w:sz w:val="20"/>
          <w:szCs w:val="20"/>
        </w:rPr>
        <w:t xml:space="preserve">Approved by the Inter-American Commission on Human Rights on </w:t>
      </w:r>
      <w:r>
        <w:rPr>
          <w:rStyle w:val="normaltextrun"/>
          <w:rFonts w:ascii="Cambria" w:hAnsi="Cambria"/>
          <w:color w:val="000000"/>
          <w:sz w:val="20"/>
          <w:szCs w:val="20"/>
        </w:rPr>
        <w:t>June 21</w:t>
      </w:r>
      <w:r w:rsidRPr="001E4CF2">
        <w:rPr>
          <w:rStyle w:val="normaltextrun"/>
          <w:rFonts w:ascii="Cambria" w:hAnsi="Cambria"/>
          <w:color w:val="000000"/>
          <w:sz w:val="20"/>
          <w:szCs w:val="20"/>
        </w:rPr>
        <w:t>, 20</w:t>
      </w:r>
      <w:r>
        <w:rPr>
          <w:rStyle w:val="normaltextrun"/>
          <w:rFonts w:ascii="Cambria" w:hAnsi="Cambria"/>
          <w:color w:val="000000"/>
          <w:sz w:val="20"/>
          <w:szCs w:val="20"/>
        </w:rPr>
        <w:t>23</w:t>
      </w:r>
      <w:r w:rsidRPr="001E4CF2">
        <w:rPr>
          <w:rStyle w:val="normaltextrun"/>
          <w:rFonts w:ascii="Cambria" w:hAnsi="Cambria"/>
          <w:color w:val="000000"/>
          <w:sz w:val="20"/>
          <w:szCs w:val="20"/>
        </w:rPr>
        <w:t xml:space="preserve">. (Signed): </w:t>
      </w:r>
      <w:r w:rsidRPr="001E4CF2">
        <w:rPr>
          <w:rFonts w:ascii="Cambria" w:hAnsi="Cambria"/>
          <w:sz w:val="20"/>
          <w:szCs w:val="20"/>
        </w:rPr>
        <w:t>Margarette May Macaulay, President; Esmeralda E. Arosemena de Troitiño, Firs</w:t>
      </w:r>
      <w:r>
        <w:rPr>
          <w:rFonts w:ascii="Cambria" w:hAnsi="Cambria"/>
          <w:sz w:val="20"/>
          <w:szCs w:val="20"/>
        </w:rPr>
        <w:t>t Vice President</w:t>
      </w:r>
      <w:r w:rsidRPr="001E4CF2">
        <w:rPr>
          <w:rFonts w:ascii="Cambria" w:hAnsi="Cambria"/>
          <w:sz w:val="20"/>
          <w:szCs w:val="20"/>
        </w:rPr>
        <w:t xml:space="preserve">; Roberta Clarke, </w:t>
      </w:r>
      <w:r>
        <w:rPr>
          <w:rFonts w:ascii="Cambria" w:hAnsi="Cambria"/>
          <w:sz w:val="20"/>
          <w:szCs w:val="20"/>
        </w:rPr>
        <w:t>Second Vice President</w:t>
      </w:r>
      <w:r w:rsidRPr="001E4CF2">
        <w:rPr>
          <w:rFonts w:ascii="Cambria" w:hAnsi="Cambria"/>
          <w:sz w:val="20"/>
          <w:szCs w:val="20"/>
        </w:rPr>
        <w:t xml:space="preserve">; Joel Hernández García; Julissa Mantilla Falcón; Edgardo </w:t>
      </w:r>
      <w:proofErr w:type="spellStart"/>
      <w:r w:rsidRPr="001E4CF2">
        <w:rPr>
          <w:rFonts w:ascii="Cambria" w:hAnsi="Cambria"/>
          <w:sz w:val="20"/>
          <w:szCs w:val="20"/>
        </w:rPr>
        <w:t>Stuardo</w:t>
      </w:r>
      <w:proofErr w:type="spellEnd"/>
      <w:r w:rsidRPr="001E4CF2">
        <w:rPr>
          <w:rFonts w:ascii="Cambria" w:hAnsi="Cambria"/>
          <w:sz w:val="20"/>
          <w:szCs w:val="20"/>
        </w:rPr>
        <w:t xml:space="preserve"> </w:t>
      </w:r>
      <w:proofErr w:type="spellStart"/>
      <w:r w:rsidRPr="001E4CF2">
        <w:rPr>
          <w:rFonts w:ascii="Cambria" w:hAnsi="Cambria"/>
          <w:sz w:val="20"/>
          <w:szCs w:val="20"/>
        </w:rPr>
        <w:t>Ralón</w:t>
      </w:r>
      <w:proofErr w:type="spellEnd"/>
      <w:r w:rsidRPr="001E4CF2">
        <w:rPr>
          <w:rFonts w:ascii="Cambria" w:hAnsi="Cambria"/>
          <w:sz w:val="20"/>
          <w:szCs w:val="20"/>
        </w:rPr>
        <w:t xml:space="preserve"> Orellana y Carlos Bernal Pulido, </w:t>
      </w:r>
      <w:r w:rsidR="008B3F71" w:rsidRPr="00CA3324">
        <w:rPr>
          <w:rStyle w:val="normaltextrun"/>
          <w:rFonts w:ascii="Cambria" w:hAnsi="Cambria" w:cs="Segoe UI"/>
          <w:sz w:val="20"/>
          <w:szCs w:val="20"/>
        </w:rPr>
        <w:t>Commissioners</w:t>
      </w:r>
      <w:r>
        <w:rPr>
          <w:rStyle w:val="normaltextrun"/>
          <w:rFonts w:ascii="Cambria" w:hAnsi="Cambria"/>
          <w:color w:val="000000"/>
          <w:sz w:val="20"/>
          <w:szCs w:val="20"/>
        </w:rPr>
        <w:t>.</w:t>
      </w:r>
    </w:p>
    <w:p w14:paraId="0D048E05" w14:textId="77777777" w:rsidR="006E32D7" w:rsidRDefault="006E32D7" w:rsidP="00145EDC">
      <w:pPr>
        <w:tabs>
          <w:tab w:val="center" w:pos="5400"/>
        </w:tabs>
        <w:suppressAutoHyphens/>
        <w:spacing w:line="276" w:lineRule="auto"/>
        <w:rPr>
          <w:rFonts w:asciiTheme="majorHAnsi" w:hAnsiTheme="majorHAnsi"/>
          <w:sz w:val="20"/>
          <w:szCs w:val="20"/>
        </w:rPr>
      </w:pPr>
    </w:p>
    <w:sectPr w:rsidR="006E32D7"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9AEF" w14:textId="77777777" w:rsidR="00045DC8" w:rsidRDefault="00045DC8" w:rsidP="00036A8A">
      <w:r>
        <w:separator/>
      </w:r>
    </w:p>
  </w:endnote>
  <w:endnote w:type="continuationSeparator" w:id="0">
    <w:p w14:paraId="01B46D9B" w14:textId="77777777" w:rsidR="00045DC8" w:rsidRDefault="00045DC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B5C3" w14:textId="77777777" w:rsidR="00045DC8" w:rsidRPr="00036A8A" w:rsidRDefault="00045DC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661BDD" w14:textId="77777777" w:rsidR="00045DC8" w:rsidRPr="00036A8A" w:rsidRDefault="00045DC8" w:rsidP="00036A8A">
      <w:pPr>
        <w:rPr>
          <w:rFonts w:asciiTheme="majorHAnsi" w:hAnsiTheme="majorHAnsi"/>
          <w:sz w:val="16"/>
          <w:szCs w:val="16"/>
        </w:rPr>
      </w:pPr>
      <w:r w:rsidRPr="00036A8A">
        <w:rPr>
          <w:rFonts w:asciiTheme="majorHAnsi" w:hAnsiTheme="majorHAnsi"/>
          <w:sz w:val="16"/>
          <w:szCs w:val="16"/>
        </w:rPr>
        <w:separator/>
      </w:r>
    </w:p>
    <w:p w14:paraId="3347C10E" w14:textId="77777777" w:rsidR="00045DC8" w:rsidRPr="00036A8A" w:rsidRDefault="00045DC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3CB03DA" w14:textId="77777777" w:rsidR="00045DC8" w:rsidRPr="0093441A" w:rsidRDefault="00045DC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1B3B338" w14:textId="77777777" w:rsidR="00680F0F" w:rsidRPr="00134496" w:rsidRDefault="00680F0F" w:rsidP="00680F0F">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rPr>
        <w:t xml:space="preserve"> The petitioners allege violations regarding reparations proceedings.</w:t>
      </w:r>
    </w:p>
  </w:footnote>
  <w:footnote w:id="3">
    <w:p w14:paraId="33AFD211" w14:textId="77777777" w:rsidR="00680F0F" w:rsidRDefault="00680F0F" w:rsidP="00680F0F">
      <w:pPr>
        <w:pStyle w:val="FootnoteText"/>
        <w:ind w:firstLine="720"/>
        <w:jc w:val="both"/>
        <w:rPr>
          <w:rFonts w:asciiTheme="majorHAnsi" w:hAnsiTheme="majorHAnsi"/>
          <w:sz w:val="16"/>
          <w:szCs w:val="16"/>
          <w:bdr w:val="none" w:sz="0" w:space="0" w:color="auto" w:frame="1"/>
        </w:rPr>
      </w:pPr>
      <w:r w:rsidRPr="001E4CF2">
        <w:rPr>
          <w:rStyle w:val="FootnoteReference"/>
          <w:rFonts w:ascii="Cambria" w:hAnsi="Cambria"/>
          <w:sz w:val="16"/>
          <w:szCs w:val="16"/>
          <w:lang w:val="en"/>
        </w:rPr>
        <w:footnoteRef/>
      </w:r>
      <w:r w:rsidRPr="001E4CF2">
        <w:rPr>
          <w:rFonts w:ascii="Cambria" w:hAnsi="Cambria"/>
          <w:sz w:val="16"/>
        </w:rPr>
        <w:t xml:space="preserve"> </w:t>
      </w:r>
      <w:r w:rsidRPr="008677BD">
        <w:rPr>
          <w:rFonts w:ascii="Cambria" w:hAnsi="Cambria"/>
          <w:sz w:val="16"/>
        </w:rPr>
        <w:t xml:space="preserve">Vienna Convention on the Law of Treaties, U.N. Doc A/CONF.39/27 (1969), Article 26: </w:t>
      </w:r>
      <w:r w:rsidRPr="008677BD">
        <w:rPr>
          <w:rFonts w:ascii="Cambria" w:hAnsi="Cambria"/>
          <w:b/>
          <w:sz w:val="16"/>
        </w:rPr>
        <w:t xml:space="preserve">"Pacta sunt </w:t>
      </w:r>
      <w:proofErr w:type="spellStart"/>
      <w:r w:rsidRPr="008677BD">
        <w:rPr>
          <w:rFonts w:ascii="Cambria" w:hAnsi="Cambria"/>
          <w:b/>
          <w:sz w:val="16"/>
        </w:rPr>
        <w:t>servanda</w:t>
      </w:r>
      <w:proofErr w:type="spellEnd"/>
      <w:r w:rsidRPr="008677BD">
        <w:rPr>
          <w:rFonts w:ascii="Cambria" w:hAnsi="Cambria"/>
          <w:b/>
          <w:sz w:val="16"/>
        </w:rPr>
        <w:t>"</w:t>
      </w:r>
      <w:r w:rsidRPr="008677BD">
        <w:rPr>
          <w:rFonts w:ascii="Cambria" w:hAnsi="Cambria"/>
          <w:sz w:val="16"/>
        </w:rPr>
        <w:t xml:space="preserve"> </w:t>
      </w:r>
      <w:r w:rsidRPr="008677BD">
        <w:rPr>
          <w:rFonts w:ascii="Cambria" w:hAnsi="Cambria"/>
          <w:i/>
          <w:sz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DC44D2" w:rsidP="002C1641">
    <w:pPr>
      <w:pStyle w:val="Header"/>
      <w:tabs>
        <w:tab w:val="clear" w:pos="4320"/>
        <w:tab w:val="clear" w:pos="8640"/>
      </w:tabs>
      <w:jc w:val="center"/>
      <w:rPr>
        <w:sz w:val="22"/>
        <w:szCs w:val="22"/>
      </w:rPr>
    </w:pPr>
    <w:r>
      <w:rPr>
        <w:sz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49495E"/>
    <w:multiLevelType w:val="multilevel"/>
    <w:tmpl w:val="D34497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4"/>
  </w:num>
  <w:num w:numId="3" w16cid:durableId="1925138327">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6"/>
  </w:num>
  <w:num w:numId="6" w16cid:durableId="553590889">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1"/>
  </w:num>
  <w:num w:numId="8" w16cid:durableId="979070274">
    <w:abstractNumId w:val="24"/>
  </w:num>
  <w:num w:numId="9" w16cid:durableId="744229055">
    <w:abstractNumId w:val="53"/>
  </w:num>
  <w:num w:numId="10" w16cid:durableId="71003339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30"/>
  </w:num>
  <w:num w:numId="12" w16cid:durableId="23482475">
    <w:abstractNumId w:val="59"/>
  </w:num>
  <w:num w:numId="13" w16cid:durableId="28720720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8"/>
  </w:num>
  <w:num w:numId="21" w16cid:durableId="24052694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9"/>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1"/>
  </w:num>
  <w:num w:numId="43" w16cid:durableId="58595887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5"/>
  </w:num>
  <w:num w:numId="53" w16cid:durableId="1674256508">
    <w:abstractNumId w:val="0"/>
  </w:num>
  <w:num w:numId="54" w16cid:durableId="328289490">
    <w:abstractNumId w:val="40"/>
  </w:num>
  <w:num w:numId="55" w16cid:durableId="52966830">
    <w:abstractNumId w:val="41"/>
  </w:num>
  <w:num w:numId="56" w16cid:durableId="2031712440">
    <w:abstractNumId w:val="46"/>
  </w:num>
  <w:num w:numId="57" w16cid:durableId="988286315">
    <w:abstractNumId w:val="1"/>
  </w:num>
  <w:num w:numId="58" w16cid:durableId="660932786">
    <w:abstractNumId w:val="2"/>
  </w:num>
  <w:num w:numId="59" w16cid:durableId="1295603021">
    <w:abstractNumId w:val="9"/>
  </w:num>
  <w:num w:numId="60" w16cid:durableId="1635525239">
    <w:abstractNumId w:val="11"/>
  </w:num>
  <w:num w:numId="61" w16cid:durableId="1376467736">
    <w:abstractNumId w:val="12"/>
  </w:num>
  <w:num w:numId="62" w16cid:durableId="2051685552">
    <w:abstractNumId w:val="13"/>
  </w:num>
  <w:num w:numId="63" w16cid:durableId="1954092195">
    <w:abstractNumId w:val="14"/>
  </w:num>
  <w:num w:numId="64" w16cid:durableId="946888988">
    <w:abstractNumId w:val="15"/>
  </w:num>
  <w:num w:numId="65" w16cid:durableId="1964074556">
    <w:abstractNumId w:val="16"/>
  </w:num>
  <w:num w:numId="66" w16cid:durableId="1814832409">
    <w:abstractNumId w:val="17"/>
  </w:num>
  <w:num w:numId="67" w16cid:durableId="948394290">
    <w:abstractNumId w:val="18"/>
  </w:num>
  <w:num w:numId="68" w16cid:durableId="1638756803">
    <w:abstractNumId w:val="20"/>
  </w:num>
  <w:num w:numId="69" w16cid:durableId="1624967865">
    <w:abstractNumId w:val="21"/>
  </w:num>
  <w:num w:numId="70" w16cid:durableId="2043244992">
    <w:abstractNumId w:val="25"/>
  </w:num>
  <w:num w:numId="71" w16cid:durableId="2132673565">
    <w:abstractNumId w:val="26"/>
  </w:num>
  <w:num w:numId="72" w16cid:durableId="441926786">
    <w:abstractNumId w:val="27"/>
  </w:num>
  <w:num w:numId="73" w16cid:durableId="843399322">
    <w:abstractNumId w:val="29"/>
  </w:num>
  <w:num w:numId="74" w16cid:durableId="336033175">
    <w:abstractNumId w:val="31"/>
  </w:num>
  <w:num w:numId="75" w16cid:durableId="1564364854">
    <w:abstractNumId w:val="32"/>
  </w:num>
  <w:num w:numId="76" w16cid:durableId="1366178073">
    <w:abstractNumId w:val="33"/>
  </w:num>
  <w:num w:numId="77" w16cid:durableId="720907309">
    <w:abstractNumId w:val="34"/>
  </w:num>
  <w:num w:numId="78" w16cid:durableId="1926572843">
    <w:abstractNumId w:val="35"/>
  </w:num>
  <w:num w:numId="79" w16cid:durableId="1538931130">
    <w:abstractNumId w:val="36"/>
  </w:num>
  <w:num w:numId="80" w16cid:durableId="1879511819">
    <w:abstractNumId w:val="37"/>
  </w:num>
  <w:num w:numId="81" w16cid:durableId="1428386966">
    <w:abstractNumId w:val="38"/>
  </w:num>
  <w:num w:numId="82" w16cid:durableId="142551894">
    <w:abstractNumId w:val="42"/>
  </w:num>
  <w:num w:numId="83" w16cid:durableId="824711039">
    <w:abstractNumId w:val="43"/>
  </w:num>
  <w:num w:numId="84" w16cid:durableId="1108282090">
    <w:abstractNumId w:val="50"/>
  </w:num>
  <w:num w:numId="85" w16cid:durableId="1611428575">
    <w:abstractNumId w:val="54"/>
  </w:num>
  <w:num w:numId="86" w16cid:durableId="1270040612">
    <w:abstractNumId w:val="56"/>
  </w:num>
  <w:num w:numId="87" w16cid:durableId="1808666855">
    <w:abstractNumId w:val="58"/>
  </w:num>
  <w:num w:numId="88" w16cid:durableId="751901012">
    <w:abstractNumId w:val="60"/>
  </w:num>
  <w:num w:numId="89" w16cid:durableId="64649807">
    <w:abstractNumId w:val="62"/>
  </w:num>
  <w:num w:numId="90" w16cid:durableId="119230681">
    <w:abstractNumId w:val="63"/>
  </w:num>
  <w:num w:numId="91" w16cid:durableId="803155736">
    <w:abstractNumId w:val="64"/>
  </w:num>
  <w:num w:numId="92" w16cid:durableId="1357391496">
    <w:abstractNumId w:val="65"/>
  </w:num>
  <w:num w:numId="93" w16cid:durableId="343672891">
    <w:abstractNumId w:val="66"/>
  </w:num>
  <w:num w:numId="94" w16cid:durableId="592787785">
    <w:abstractNumId w:val="23"/>
  </w:num>
  <w:num w:numId="95" w16cid:durableId="1631744929">
    <w:abstractNumId w:val="44"/>
  </w:num>
  <w:num w:numId="96" w16cid:durableId="1848640289">
    <w:abstractNumId w:val="57"/>
  </w:num>
  <w:num w:numId="97" w16cid:durableId="821628064">
    <w:abstractNumId w:val="55"/>
  </w:num>
  <w:num w:numId="98" w16cid:durableId="1577782847">
    <w:abstractNumId w:val="47"/>
  </w:num>
  <w:num w:numId="99" w16cid:durableId="7104647">
    <w:abstractNumId w:val="39"/>
  </w:num>
  <w:num w:numId="100" w16cid:durableId="782310190">
    <w:abstractNumId w:val="3"/>
  </w:num>
  <w:num w:numId="101" w16cid:durableId="1471752925">
    <w:abstractNumId w:val="28"/>
  </w:num>
  <w:num w:numId="102" w16cid:durableId="1606696121">
    <w:abstractNumId w:val="51"/>
  </w:num>
  <w:num w:numId="103" w16cid:durableId="1023745379">
    <w:abstractNumId w:val="5"/>
  </w:num>
  <w:num w:numId="104" w16cid:durableId="656763769">
    <w:abstractNumId w:val="48"/>
  </w:num>
  <w:num w:numId="105" w16cid:durableId="1158840250">
    <w:abstractNumId w:val="22"/>
  </w:num>
  <w:num w:numId="106" w16cid:durableId="24717519">
    <w:abstractNumId w:val="7"/>
  </w:num>
  <w:num w:numId="107" w16cid:durableId="1302537009">
    <w:abstractNumId w:val="10"/>
  </w:num>
  <w:num w:numId="108" w16cid:durableId="656303115">
    <w:abstractNumId w:val="49"/>
  </w:num>
  <w:num w:numId="109" w16cid:durableId="841579475">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45DC8"/>
    <w:rsid w:val="000639C0"/>
    <w:rsid w:val="00070F3A"/>
    <w:rsid w:val="000716C5"/>
    <w:rsid w:val="00075E23"/>
    <w:rsid w:val="00092F32"/>
    <w:rsid w:val="0009344A"/>
    <w:rsid w:val="000A575F"/>
    <w:rsid w:val="000B162F"/>
    <w:rsid w:val="000B2A52"/>
    <w:rsid w:val="000C227B"/>
    <w:rsid w:val="000D10DB"/>
    <w:rsid w:val="000F41FD"/>
    <w:rsid w:val="0013104F"/>
    <w:rsid w:val="00137EBA"/>
    <w:rsid w:val="00145EDC"/>
    <w:rsid w:val="00167A34"/>
    <w:rsid w:val="0018037F"/>
    <w:rsid w:val="001A5F27"/>
    <w:rsid w:val="001A7870"/>
    <w:rsid w:val="001C1B41"/>
    <w:rsid w:val="001E4CF2"/>
    <w:rsid w:val="001E6879"/>
    <w:rsid w:val="001F1B2F"/>
    <w:rsid w:val="001F4265"/>
    <w:rsid w:val="00210E0E"/>
    <w:rsid w:val="00247403"/>
    <w:rsid w:val="00247542"/>
    <w:rsid w:val="00257893"/>
    <w:rsid w:val="00266092"/>
    <w:rsid w:val="00266B61"/>
    <w:rsid w:val="0026712A"/>
    <w:rsid w:val="002704DB"/>
    <w:rsid w:val="00276C70"/>
    <w:rsid w:val="002A65AC"/>
    <w:rsid w:val="002C1641"/>
    <w:rsid w:val="002C43C6"/>
    <w:rsid w:val="002D7EA2"/>
    <w:rsid w:val="002E15DF"/>
    <w:rsid w:val="002E187C"/>
    <w:rsid w:val="002E6E57"/>
    <w:rsid w:val="00301075"/>
    <w:rsid w:val="00302733"/>
    <w:rsid w:val="00311A4F"/>
    <w:rsid w:val="00314078"/>
    <w:rsid w:val="00322450"/>
    <w:rsid w:val="003246B5"/>
    <w:rsid w:val="00330B8C"/>
    <w:rsid w:val="0033169F"/>
    <w:rsid w:val="003414AC"/>
    <w:rsid w:val="0034313D"/>
    <w:rsid w:val="00356185"/>
    <w:rsid w:val="00360380"/>
    <w:rsid w:val="003815A8"/>
    <w:rsid w:val="003840AF"/>
    <w:rsid w:val="00386CF0"/>
    <w:rsid w:val="003C32BC"/>
    <w:rsid w:val="003F1BBF"/>
    <w:rsid w:val="004165C2"/>
    <w:rsid w:val="00417534"/>
    <w:rsid w:val="00450A4A"/>
    <w:rsid w:val="004666FB"/>
    <w:rsid w:val="00467B7E"/>
    <w:rsid w:val="00480C88"/>
    <w:rsid w:val="0049165C"/>
    <w:rsid w:val="0049419D"/>
    <w:rsid w:val="004B2762"/>
    <w:rsid w:val="004B6882"/>
    <w:rsid w:val="004B7EB6"/>
    <w:rsid w:val="004C04E9"/>
    <w:rsid w:val="004C4B62"/>
    <w:rsid w:val="004D6025"/>
    <w:rsid w:val="004D72BC"/>
    <w:rsid w:val="004E1545"/>
    <w:rsid w:val="00501399"/>
    <w:rsid w:val="00507BC4"/>
    <w:rsid w:val="005128E4"/>
    <w:rsid w:val="00523B70"/>
    <w:rsid w:val="00525560"/>
    <w:rsid w:val="00532652"/>
    <w:rsid w:val="005357A6"/>
    <w:rsid w:val="00544C49"/>
    <w:rsid w:val="005650A5"/>
    <w:rsid w:val="0057402A"/>
    <w:rsid w:val="005771D0"/>
    <w:rsid w:val="005778D7"/>
    <w:rsid w:val="0059191A"/>
    <w:rsid w:val="005921FF"/>
    <w:rsid w:val="005A6B57"/>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80F0F"/>
    <w:rsid w:val="006A17D2"/>
    <w:rsid w:val="006A73E6"/>
    <w:rsid w:val="006B2D5C"/>
    <w:rsid w:val="006C4EB1"/>
    <w:rsid w:val="006E0166"/>
    <w:rsid w:val="006E32D7"/>
    <w:rsid w:val="006E7B34"/>
    <w:rsid w:val="00701B24"/>
    <w:rsid w:val="00745899"/>
    <w:rsid w:val="007607C4"/>
    <w:rsid w:val="00762731"/>
    <w:rsid w:val="0076643F"/>
    <w:rsid w:val="007947BC"/>
    <w:rsid w:val="007A2F70"/>
    <w:rsid w:val="007C175C"/>
    <w:rsid w:val="007C3334"/>
    <w:rsid w:val="007C52BB"/>
    <w:rsid w:val="007D2B98"/>
    <w:rsid w:val="00803F1C"/>
    <w:rsid w:val="0080600E"/>
    <w:rsid w:val="00817612"/>
    <w:rsid w:val="00837C45"/>
    <w:rsid w:val="00853419"/>
    <w:rsid w:val="008677BD"/>
    <w:rsid w:val="00872944"/>
    <w:rsid w:val="00897E12"/>
    <w:rsid w:val="008B3F71"/>
    <w:rsid w:val="008D43BA"/>
    <w:rsid w:val="008E3759"/>
    <w:rsid w:val="009041DC"/>
    <w:rsid w:val="009104B4"/>
    <w:rsid w:val="00925FCD"/>
    <w:rsid w:val="0093441A"/>
    <w:rsid w:val="00954BF7"/>
    <w:rsid w:val="0096706E"/>
    <w:rsid w:val="00973ABF"/>
    <w:rsid w:val="00981FBA"/>
    <w:rsid w:val="009B381B"/>
    <w:rsid w:val="009D7611"/>
    <w:rsid w:val="009D770B"/>
    <w:rsid w:val="009E53DE"/>
    <w:rsid w:val="00A1479F"/>
    <w:rsid w:val="00A43458"/>
    <w:rsid w:val="00A528D1"/>
    <w:rsid w:val="00A66BE5"/>
    <w:rsid w:val="00AA16C6"/>
    <w:rsid w:val="00AA214D"/>
    <w:rsid w:val="00AD37C1"/>
    <w:rsid w:val="00AE66EC"/>
    <w:rsid w:val="00AE6F91"/>
    <w:rsid w:val="00AF5571"/>
    <w:rsid w:val="00B07B28"/>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4130A"/>
    <w:rsid w:val="00D6397C"/>
    <w:rsid w:val="00D712D3"/>
    <w:rsid w:val="00D71422"/>
    <w:rsid w:val="00D7145E"/>
    <w:rsid w:val="00D7558D"/>
    <w:rsid w:val="00D81D92"/>
    <w:rsid w:val="00D93446"/>
    <w:rsid w:val="00DA37B6"/>
    <w:rsid w:val="00DA7B5F"/>
    <w:rsid w:val="00DF0998"/>
    <w:rsid w:val="00E41192"/>
    <w:rsid w:val="00E43157"/>
    <w:rsid w:val="00E51970"/>
    <w:rsid w:val="00E533FF"/>
    <w:rsid w:val="00E54B91"/>
    <w:rsid w:val="00E709B3"/>
    <w:rsid w:val="00E74A25"/>
    <w:rsid w:val="00E8789F"/>
    <w:rsid w:val="00E97B71"/>
    <w:rsid w:val="00EB454D"/>
    <w:rsid w:val="00EE3522"/>
    <w:rsid w:val="00EF619B"/>
    <w:rsid w:val="00F00B55"/>
    <w:rsid w:val="00F1380F"/>
    <w:rsid w:val="00F14F0E"/>
    <w:rsid w:val="00F24C29"/>
    <w:rsid w:val="00F253CC"/>
    <w:rsid w:val="00F56BA5"/>
    <w:rsid w:val="00F644E6"/>
    <w:rsid w:val="00F868D0"/>
    <w:rsid w:val="00F9653B"/>
    <w:rsid w:val="00FA265D"/>
    <w:rsid w:val="00FA6199"/>
    <w:rsid w:val="00FA675D"/>
    <w:rsid w:val="00FB62CF"/>
    <w:rsid w:val="00FC26B1"/>
    <w:rsid w:val="00FC3EB4"/>
    <w:rsid w:val="00FC6C58"/>
    <w:rsid w:val="00FE441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1"/>
    <w:qFormat/>
    <w:pPr>
      <w:ind w:left="720"/>
    </w:pPr>
    <w:rPr>
      <w:rFonts w:ascii="Cambria" w:eastAsia="Cambria" w:hAnsi="Cambria" w:cs="Cambria"/>
      <w:color w:val="000000"/>
      <w:sz w:val="24"/>
      <w:szCs w:val="24"/>
      <w:u w:color="000000"/>
    </w:rPr>
  </w:style>
  <w:style w:type="numbering" w:customStyle="1" w:styleId="List0">
    <w:name w:val="List 0"/>
    <w:basedOn w:val="NoList"/>
    <w:pPr>
      <w:numPr>
        <w:numId w:val="74"/>
      </w:numPr>
    </w:pPr>
  </w:style>
  <w:style w:type="paragraph" w:styleId="NormalWeb">
    <w:name w:val="Normal (Web)"/>
    <w:basedOn w:val="Normal"/>
    <w:uiPriority w:val="99"/>
    <w:unhideWhenUsed/>
    <w:rsid w:val="0068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2"/>
      </w:numPr>
    </w:pPr>
  </w:style>
  <w:style w:type="character" w:customStyle="1" w:styleId="eop">
    <w:name w:val="eop"/>
    <w:basedOn w:val="DefaultParagraphFont"/>
    <w:rsid w:val="00680F0F"/>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68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80F0F"/>
  </w:style>
  <w:style w:type="paragraph" w:styleId="Revision">
    <w:name w:val="Revision"/>
    <w:hidden/>
    <w:uiPriority w:val="99"/>
    <w:semiHidden/>
    <w:rsid w:val="002C43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3031</Words>
  <Characters>16127</Characters>
  <Application>Microsoft Office Word</Application>
  <DocSecurity>0</DocSecurity>
  <Lines>335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85/23</dc:title>
  <cp:lastModifiedBy/>
  <cp:revision>1</cp:revision>
  <dcterms:created xsi:type="dcterms:W3CDTF">2023-08-24T21:10:00Z</dcterms:created>
  <dcterms:modified xsi:type="dcterms:W3CDTF">2023-08-24T21:10:00Z</dcterms:modified>
</cp:coreProperties>
</file>